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C389" w14:textId="53712977" w:rsidR="004B6EA6" w:rsidRDefault="00556A80" w:rsidP="004B6EA6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E5EEC">
        <w:rPr>
          <w:rFonts w:ascii="Arial" w:hAnsi="Arial" w:cs="Arial"/>
          <w:noProof/>
        </w:rPr>
        <w:drawing>
          <wp:inline distT="0" distB="0" distL="0" distR="0" wp14:anchorId="3750A681" wp14:editId="2C106866">
            <wp:extent cx="2551615" cy="822960"/>
            <wp:effectExtent l="0" t="0" r="1270" b="0"/>
            <wp:docPr id="3" name="Picture 2" descr="WattEV (@wattevinc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tEV (@wattevinc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t="33667" b="34834"/>
                    <a:stretch/>
                  </pic:blipFill>
                  <pic:spPr bwMode="auto">
                    <a:xfrm>
                      <a:off x="0" y="0"/>
                      <a:ext cx="25516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ED428" w14:textId="77777777" w:rsidR="00556A80" w:rsidRDefault="00556A80" w:rsidP="004B6EA6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268A21E7" w14:textId="77777777" w:rsidR="00CC6187" w:rsidRDefault="00CC6187" w:rsidP="00556A80">
      <w:pPr>
        <w:pStyle w:val="NoSpacing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689CC1FA" w14:textId="4C9FB907" w:rsidR="00556A80" w:rsidRPr="005A5274" w:rsidRDefault="00556A80" w:rsidP="00556A80">
      <w:pPr>
        <w:pStyle w:val="NoSpacing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5A5274">
        <w:rPr>
          <w:rFonts w:ascii="Arial" w:hAnsi="Arial" w:cs="Arial"/>
          <w:sz w:val="28"/>
          <w:szCs w:val="28"/>
          <w:bdr w:val="none" w:sz="0" w:space="0" w:color="auto" w:frame="1"/>
        </w:rPr>
        <w:t>NEWS RELEASE</w:t>
      </w:r>
    </w:p>
    <w:p w14:paraId="3BBA342E" w14:textId="77777777" w:rsidR="00556A80" w:rsidRPr="00556A80" w:rsidRDefault="00556A80" w:rsidP="004B6EA6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2FF676D1" w14:textId="77777777" w:rsidR="00EE1D04" w:rsidRDefault="00EE1D04" w:rsidP="004B6EA6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42B33172" w14:textId="77777777" w:rsidR="00556A80" w:rsidRPr="00556A80" w:rsidRDefault="00556A80" w:rsidP="004B6EA6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79B0DF3E" w14:textId="1E140294" w:rsidR="006E7754" w:rsidRPr="00556A80" w:rsidRDefault="00A41F9E" w:rsidP="005D7F2F">
      <w:pPr>
        <w:pStyle w:val="NoSpacing"/>
        <w:jc w:val="center"/>
        <w:rPr>
          <w:rFonts w:ascii="Arial" w:hAnsi="Arial" w:cs="Arial"/>
          <w:b/>
          <w:bCs/>
          <w:sz w:val="56"/>
          <w:szCs w:val="56"/>
        </w:rPr>
      </w:pPr>
      <w:r w:rsidRPr="00556A80">
        <w:rPr>
          <w:rFonts w:ascii="Arial" w:hAnsi="Arial" w:cs="Arial"/>
          <w:b/>
          <w:bCs/>
          <w:sz w:val="56"/>
          <w:szCs w:val="56"/>
        </w:rPr>
        <w:t xml:space="preserve">WattEV </w:t>
      </w:r>
      <w:r w:rsidR="00156361" w:rsidRPr="00556A80">
        <w:rPr>
          <w:rFonts w:ascii="Arial" w:hAnsi="Arial" w:cs="Arial"/>
          <w:b/>
          <w:bCs/>
          <w:sz w:val="56"/>
          <w:szCs w:val="56"/>
        </w:rPr>
        <w:t xml:space="preserve">to </w:t>
      </w:r>
      <w:r w:rsidR="0061225A">
        <w:rPr>
          <w:rFonts w:ascii="Arial" w:hAnsi="Arial" w:cs="Arial"/>
          <w:b/>
          <w:bCs/>
          <w:sz w:val="56"/>
          <w:szCs w:val="56"/>
        </w:rPr>
        <w:t xml:space="preserve">expand fleet of </w:t>
      </w:r>
      <w:r w:rsidRPr="00556A80">
        <w:rPr>
          <w:rFonts w:ascii="Arial" w:hAnsi="Arial" w:cs="Arial"/>
          <w:b/>
          <w:bCs/>
          <w:sz w:val="56"/>
          <w:szCs w:val="56"/>
        </w:rPr>
        <w:t>heavy</w:t>
      </w:r>
      <w:r w:rsidR="0061225A">
        <w:rPr>
          <w:rFonts w:ascii="Arial" w:hAnsi="Arial" w:cs="Arial"/>
          <w:b/>
          <w:bCs/>
          <w:sz w:val="56"/>
          <w:szCs w:val="56"/>
        </w:rPr>
        <w:t>-</w:t>
      </w:r>
      <w:r w:rsidRPr="00556A80">
        <w:rPr>
          <w:rFonts w:ascii="Arial" w:hAnsi="Arial" w:cs="Arial"/>
          <w:b/>
          <w:bCs/>
          <w:sz w:val="56"/>
          <w:szCs w:val="56"/>
        </w:rPr>
        <w:t>duty</w:t>
      </w:r>
      <w:r w:rsidR="0071783A" w:rsidRPr="00556A80">
        <w:rPr>
          <w:rFonts w:ascii="Arial" w:hAnsi="Arial" w:cs="Arial"/>
          <w:b/>
          <w:bCs/>
          <w:sz w:val="56"/>
          <w:szCs w:val="56"/>
        </w:rPr>
        <w:t xml:space="preserve"> electric trucks </w:t>
      </w:r>
      <w:r w:rsidR="0061225A">
        <w:rPr>
          <w:rFonts w:ascii="Arial" w:hAnsi="Arial" w:cs="Arial"/>
          <w:b/>
          <w:bCs/>
          <w:sz w:val="56"/>
          <w:szCs w:val="56"/>
        </w:rPr>
        <w:t xml:space="preserve">to </w:t>
      </w:r>
      <w:r w:rsidR="006669DA">
        <w:rPr>
          <w:rFonts w:ascii="Arial" w:hAnsi="Arial" w:cs="Arial"/>
          <w:b/>
          <w:bCs/>
          <w:sz w:val="56"/>
          <w:szCs w:val="56"/>
        </w:rPr>
        <w:t xml:space="preserve">more than </w:t>
      </w:r>
      <w:r w:rsidR="0061225A">
        <w:rPr>
          <w:rFonts w:ascii="Arial" w:hAnsi="Arial" w:cs="Arial"/>
          <w:b/>
          <w:bCs/>
          <w:sz w:val="56"/>
          <w:szCs w:val="56"/>
        </w:rPr>
        <w:t>1</w:t>
      </w:r>
      <w:r w:rsidR="00546ED1">
        <w:rPr>
          <w:rFonts w:ascii="Arial" w:hAnsi="Arial" w:cs="Arial"/>
          <w:b/>
          <w:bCs/>
          <w:sz w:val="56"/>
          <w:szCs w:val="56"/>
        </w:rPr>
        <w:t>8</w:t>
      </w:r>
      <w:r w:rsidR="0061225A">
        <w:rPr>
          <w:rFonts w:ascii="Arial" w:hAnsi="Arial" w:cs="Arial"/>
          <w:b/>
          <w:bCs/>
          <w:sz w:val="56"/>
          <w:szCs w:val="56"/>
        </w:rPr>
        <w:t xml:space="preserve">0 </w:t>
      </w:r>
    </w:p>
    <w:p w14:paraId="41F3936D" w14:textId="77777777" w:rsidR="006E7754" w:rsidRPr="00556A80" w:rsidRDefault="006E7754" w:rsidP="009816F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2938012" w14:textId="30E66D3E" w:rsidR="00A41F9E" w:rsidRPr="00556A80" w:rsidRDefault="00213584" w:rsidP="004A1439">
      <w:pPr>
        <w:pStyle w:val="NoSpacing"/>
        <w:ind w:left="360"/>
        <w:rPr>
          <w:rFonts w:ascii="Arial" w:hAnsi="Arial" w:cs="Arial"/>
          <w:b/>
          <w:bCs/>
          <w:sz w:val="40"/>
          <w:szCs w:val="40"/>
        </w:rPr>
      </w:pPr>
      <w:r w:rsidRPr="00556A80">
        <w:rPr>
          <w:rFonts w:ascii="Arial" w:hAnsi="Arial" w:cs="Arial"/>
          <w:i/>
          <w:iCs/>
          <w:sz w:val="40"/>
          <w:szCs w:val="40"/>
        </w:rPr>
        <w:t>Truck</w:t>
      </w:r>
      <w:r w:rsidR="007B31F6" w:rsidRPr="00556A80">
        <w:rPr>
          <w:rFonts w:ascii="Arial" w:hAnsi="Arial" w:cs="Arial"/>
          <w:i/>
          <w:iCs/>
          <w:sz w:val="40"/>
          <w:szCs w:val="40"/>
        </w:rPr>
        <w:t>-</w:t>
      </w:r>
      <w:r w:rsidR="005D7F2F" w:rsidRPr="00556A80">
        <w:rPr>
          <w:rFonts w:ascii="Arial" w:hAnsi="Arial" w:cs="Arial"/>
          <w:i/>
          <w:iCs/>
          <w:sz w:val="40"/>
          <w:szCs w:val="40"/>
        </w:rPr>
        <w:t>as-a-S</w:t>
      </w:r>
      <w:r w:rsidR="00556A80" w:rsidRPr="00556A80">
        <w:rPr>
          <w:rFonts w:ascii="Arial" w:hAnsi="Arial" w:cs="Arial"/>
          <w:i/>
          <w:iCs/>
          <w:sz w:val="40"/>
          <w:szCs w:val="40"/>
        </w:rPr>
        <w:t>e</w:t>
      </w:r>
      <w:r w:rsidR="005D7F2F" w:rsidRPr="00556A80">
        <w:rPr>
          <w:rFonts w:ascii="Arial" w:hAnsi="Arial" w:cs="Arial"/>
          <w:i/>
          <w:iCs/>
          <w:sz w:val="40"/>
          <w:szCs w:val="40"/>
        </w:rPr>
        <w:t xml:space="preserve">rvice operator and </w:t>
      </w:r>
      <w:r w:rsidRPr="00556A80">
        <w:rPr>
          <w:rFonts w:ascii="Arial" w:hAnsi="Arial" w:cs="Arial"/>
          <w:i/>
          <w:iCs/>
          <w:sz w:val="40"/>
          <w:szCs w:val="40"/>
        </w:rPr>
        <w:t xml:space="preserve">charging depot developer </w:t>
      </w:r>
      <w:r w:rsidR="005D7F2F" w:rsidRPr="00556A80">
        <w:rPr>
          <w:rFonts w:ascii="Arial" w:hAnsi="Arial" w:cs="Arial"/>
          <w:i/>
          <w:iCs/>
          <w:sz w:val="40"/>
          <w:szCs w:val="40"/>
        </w:rPr>
        <w:t xml:space="preserve">ready to </w:t>
      </w:r>
      <w:r w:rsidR="00AC276A">
        <w:rPr>
          <w:rFonts w:ascii="Arial" w:hAnsi="Arial" w:cs="Arial"/>
          <w:i/>
          <w:iCs/>
          <w:sz w:val="40"/>
          <w:szCs w:val="40"/>
        </w:rPr>
        <w:t>order</w:t>
      </w:r>
      <w:r w:rsidR="00B77A90">
        <w:rPr>
          <w:rFonts w:ascii="Arial" w:hAnsi="Arial" w:cs="Arial"/>
          <w:i/>
          <w:iCs/>
          <w:sz w:val="40"/>
          <w:szCs w:val="40"/>
        </w:rPr>
        <w:t xml:space="preserve"> </w:t>
      </w:r>
      <w:r w:rsidR="003D18E1">
        <w:rPr>
          <w:rFonts w:ascii="Arial" w:hAnsi="Arial" w:cs="Arial"/>
          <w:i/>
          <w:iCs/>
          <w:sz w:val="40"/>
          <w:szCs w:val="40"/>
        </w:rPr>
        <w:t>‘</w:t>
      </w:r>
      <w:proofErr w:type="gramStart"/>
      <w:r w:rsidR="003D18E1">
        <w:rPr>
          <w:rFonts w:ascii="Arial" w:hAnsi="Arial" w:cs="Arial"/>
          <w:i/>
          <w:iCs/>
          <w:sz w:val="40"/>
          <w:szCs w:val="40"/>
        </w:rPr>
        <w:t>thousands’</w:t>
      </w:r>
      <w:proofErr w:type="gramEnd"/>
      <w:r w:rsidR="003D18E1">
        <w:rPr>
          <w:rFonts w:ascii="Arial" w:hAnsi="Arial" w:cs="Arial"/>
          <w:i/>
          <w:iCs/>
          <w:sz w:val="40"/>
          <w:szCs w:val="40"/>
        </w:rPr>
        <w:t xml:space="preserve"> </w:t>
      </w:r>
      <w:r w:rsidR="001900A2">
        <w:rPr>
          <w:rFonts w:ascii="Arial" w:hAnsi="Arial" w:cs="Arial"/>
          <w:i/>
          <w:iCs/>
          <w:sz w:val="40"/>
          <w:szCs w:val="40"/>
        </w:rPr>
        <w:t xml:space="preserve">of </w:t>
      </w:r>
      <w:r w:rsidRPr="00556A80">
        <w:rPr>
          <w:rFonts w:ascii="Arial" w:hAnsi="Arial" w:cs="Arial"/>
          <w:i/>
          <w:iCs/>
          <w:sz w:val="40"/>
          <w:szCs w:val="40"/>
        </w:rPr>
        <w:t xml:space="preserve">MCS-capable trucks </w:t>
      </w:r>
      <w:r w:rsidR="001900A2">
        <w:rPr>
          <w:rFonts w:ascii="Arial" w:hAnsi="Arial" w:cs="Arial"/>
          <w:i/>
          <w:iCs/>
          <w:sz w:val="40"/>
          <w:szCs w:val="40"/>
        </w:rPr>
        <w:t xml:space="preserve">– </w:t>
      </w:r>
      <w:r w:rsidR="00E61248">
        <w:rPr>
          <w:rFonts w:ascii="Arial" w:hAnsi="Arial" w:cs="Arial"/>
          <w:i/>
          <w:iCs/>
          <w:sz w:val="40"/>
          <w:szCs w:val="40"/>
        </w:rPr>
        <w:t xml:space="preserve">challenges </w:t>
      </w:r>
      <w:r w:rsidR="00F2546C">
        <w:rPr>
          <w:rFonts w:ascii="Arial" w:hAnsi="Arial" w:cs="Arial"/>
          <w:i/>
          <w:iCs/>
          <w:sz w:val="40"/>
          <w:szCs w:val="40"/>
        </w:rPr>
        <w:t xml:space="preserve">truck OEMs to </w:t>
      </w:r>
      <w:r w:rsidR="005776B3">
        <w:rPr>
          <w:rFonts w:ascii="Arial" w:hAnsi="Arial" w:cs="Arial"/>
          <w:i/>
          <w:iCs/>
          <w:sz w:val="40"/>
          <w:szCs w:val="40"/>
        </w:rPr>
        <w:t>step</w:t>
      </w:r>
      <w:r w:rsidR="00E91E5B">
        <w:rPr>
          <w:rFonts w:ascii="Arial" w:hAnsi="Arial" w:cs="Arial"/>
          <w:i/>
          <w:iCs/>
          <w:sz w:val="40"/>
          <w:szCs w:val="40"/>
        </w:rPr>
        <w:t xml:space="preserve"> up</w:t>
      </w:r>
    </w:p>
    <w:p w14:paraId="0FA4F77A" w14:textId="77777777" w:rsidR="00A41F9E" w:rsidRDefault="00A41F9E" w:rsidP="00043D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1AA00C" w14:textId="77777777" w:rsidR="00556A80" w:rsidRPr="00556A80" w:rsidRDefault="00556A80" w:rsidP="00043D5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FE427E" w14:textId="0EFFABB2" w:rsidR="008A679A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556A8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LAS VEGAS, May 2</w:t>
      </w:r>
      <w:r w:rsidR="00CC1B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</w:t>
      </w:r>
      <w:r w:rsidRPr="00556A8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, (GLOBE NEWSWIRE)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– WattEV, the nation’s leading medium and heavy-duty electric truck charging infrastructure developer, today announced </w:t>
      </w:r>
      <w:r w:rsidR="00AC151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at </w:t>
      </w:r>
      <w:r w:rsidR="008351D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Advanced Clean Transportation (ACT) Expo </w:t>
      </w:r>
      <w:r w:rsidR="00CE59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that 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it </w:t>
      </w:r>
      <w:r w:rsidR="0061225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is </w:t>
      </w:r>
      <w:r w:rsidR="005776B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increasing </w:t>
      </w:r>
      <w:r w:rsidR="0061225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its current fleet of </w:t>
      </w:r>
      <w:r w:rsidR="00ED23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</w:t>
      </w:r>
      <w:r w:rsidR="0061225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 battery</w:t>
      </w:r>
      <w:r w:rsidR="00CE48E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="0061225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electric trucks </w:t>
      </w:r>
      <w:r w:rsidR="008A679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to </w:t>
      </w:r>
      <w:r w:rsidR="00CE59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more than</w:t>
      </w:r>
      <w:r w:rsidR="008A679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180 by the end of </w:t>
      </w:r>
      <w:r w:rsidR="00CE59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this</w:t>
      </w:r>
      <w:r w:rsidR="008A679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year. The </w:t>
      </w:r>
      <w:r w:rsidR="005776B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increase</w:t>
      </w:r>
      <w:r w:rsidR="008A679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comes on the heels of WattEV’s </w:t>
      </w:r>
      <w:r w:rsidR="005A52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expansion of its </w:t>
      </w:r>
      <w:r w:rsidR="008A679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charging depots </w:t>
      </w:r>
      <w:r w:rsidR="005A52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to five locations within the past month. </w:t>
      </w:r>
    </w:p>
    <w:p w14:paraId="67A522E4" w14:textId="77777777" w:rsidR="000C7923" w:rsidRDefault="000C7923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543CB7B" w14:textId="77777777" w:rsidR="001A1D6F" w:rsidRDefault="008A679A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“We</w:t>
      </w:r>
      <w:r w:rsidR="007D1CF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’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ve been using and testing trucks in our fleet from all the major OEMs</w:t>
      </w:r>
      <w:r w:rsidR="00E9311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” said 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WattEV CEO Salim Youssefzadeh</w:t>
      </w:r>
      <w:r w:rsidR="00F80E5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adding </w:t>
      </w:r>
      <w:r w:rsidR="00AD33F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that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WattEV will be taking delivery of the </w:t>
      </w:r>
      <w:r w:rsidR="003D2BC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first </w:t>
      </w:r>
      <w:r w:rsidR="003656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new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batch of 53</w:t>
      </w:r>
      <w:r w:rsidR="00332E7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zero-emission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trucks </w:t>
      </w:r>
      <w:r w:rsidR="00D16A6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in June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from TEC Equipment</w:t>
      </w:r>
      <w:r w:rsidR="00D16A6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dealer for Volvo</w:t>
      </w:r>
      <w:r w:rsidR="00301DF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’s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VNR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D16A6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Electric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="005A52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14:paraId="7BCF0DCD" w14:textId="77777777" w:rsidR="001A1D6F" w:rsidRDefault="001A1D6F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5B6539D" w14:textId="54E1F70A" w:rsidR="005F3939" w:rsidRDefault="008A679A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“We 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value our longstanding relationship with TEC Equipment</w:t>
      </w:r>
      <w:r w:rsidR="00C437D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,” Youssefzadeh said, “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and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have accelerated 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delivery of our orders after verifying range and charge rate</w:t>
      </w:r>
      <w:r w:rsidR="00C437D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” </w:t>
      </w:r>
    </w:p>
    <w:p w14:paraId="4948A646" w14:textId="77777777" w:rsidR="00546ED1" w:rsidRDefault="00546ED1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DF55ABF" w14:textId="24F7C0F9" w:rsidR="001A1D6F" w:rsidRPr="001A1D6F" w:rsidRDefault="001A1D6F" w:rsidP="001A1D6F">
      <w:pPr>
        <w:textAlignment w:val="baseline"/>
        <w:rPr>
          <w:rFonts w:ascii="Calibri" w:hAnsi="Calibri"/>
        </w:rPr>
      </w:pPr>
      <w:r w:rsidRPr="001A1D6F">
        <w:rPr>
          <w:rFonts w:ascii="Arial" w:hAnsi="Arial" w:cs="Arial"/>
          <w:sz w:val="24"/>
          <w:szCs w:val="24"/>
          <w:bdr w:val="none" w:sz="0" w:space="0" w:color="auto" w:frame="1"/>
        </w:rPr>
        <w:t>Chris Thompson, Vice President of Truck Sales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at </w:t>
      </w:r>
      <w:r w:rsidRPr="001A1D6F">
        <w:rPr>
          <w:rFonts w:ascii="Arial" w:hAnsi="Arial" w:cs="Arial"/>
          <w:sz w:val="24"/>
          <w:szCs w:val="24"/>
          <w:bdr w:val="none" w:sz="0" w:space="0" w:color="auto" w:frame="1"/>
        </w:rPr>
        <w:t>TEC Equipment, said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1A1D6F">
        <w:rPr>
          <w:rFonts w:ascii="Arial" w:hAnsi="Arial" w:cs="Arial"/>
          <w:sz w:val="24"/>
          <w:szCs w:val="24"/>
          <w:bdr w:val="none" w:sz="0" w:space="0" w:color="auto" w:frame="1"/>
        </w:rPr>
        <w:t xml:space="preserve"> “As a significant dealer in California and major supplier of electric heavy-duty trucks, we forged an alliance with WattEV in 2021, believing that they will become a leader in electrification of heavy-duty freight. Our delivery to WattEV – along with over 200 electric trucks delivered to prominent fleets across the West Coast – places us among the top suppliers in the rapidly expanding California market.” </w:t>
      </w:r>
    </w:p>
    <w:p w14:paraId="3E505EAC" w14:textId="7F8E46B3" w:rsidR="005F3939" w:rsidRDefault="005F3939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Once </w:t>
      </w:r>
      <w:r w:rsidR="00D3244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its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fleet is expanded to </w:t>
      </w:r>
      <w:r w:rsidR="00EC6D8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89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trucks, WattEV will tak</w:t>
      </w:r>
      <w:r w:rsidR="00D3244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delivery of </w:t>
      </w:r>
      <w:r w:rsidR="00D3244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an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additional 1</w:t>
      </w:r>
      <w:r w:rsidR="00ED23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0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0 trucks under order from different OEMs</w:t>
      </w:r>
      <w:r w:rsidR="00B4268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6047D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bringing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it</w:t>
      </w:r>
      <w:r w:rsidR="009D3E6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total fleet capacity to 189 </w:t>
      </w:r>
      <w:r w:rsidR="00B4268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lass</w:t>
      </w:r>
      <w:r w:rsidR="00B233F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 battery</w:t>
      </w:r>
      <w:r w:rsidR="00B233F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electric trucks</w:t>
      </w:r>
      <w:r w:rsidR="00B233F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which </w:t>
      </w:r>
      <w:r w:rsidR="00342A9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would make it t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he largest deployment among </w:t>
      </w:r>
      <w:r w:rsidR="00C731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current </w:t>
      </w:r>
      <w:r w:rsidR="00B233F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electric commercial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fleet operators.</w:t>
      </w:r>
    </w:p>
    <w:p w14:paraId="1A721808" w14:textId="77777777" w:rsidR="005F3939" w:rsidRDefault="005F3939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BC2C2A0" w14:textId="77777777" w:rsidR="001A1D6F" w:rsidRDefault="00DE0099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 xml:space="preserve">WattEV 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has been leading the industry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with </w:t>
      </w:r>
      <w:r w:rsidR="00F1469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</w:t>
      </w:r>
      <w:r w:rsidR="00A1444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placement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of 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megawatt charging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E678B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(MCS) 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at all </w:t>
      </w:r>
      <w:r w:rsidR="00CC023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of 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its </w:t>
      </w:r>
      <w:r w:rsidR="000715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depots. </w:t>
      </w:r>
      <w:r w:rsidR="00CC023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Youssefzadeh said WattEV stands </w:t>
      </w:r>
      <w:r w:rsidR="0084711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ready 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to 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place order</w:t>
      </w:r>
      <w:r w:rsidR="0084711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for </w:t>
      </w:r>
      <w:r w:rsidR="007873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“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thousand</w:t>
      </w:r>
      <w:r w:rsidR="0078737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s” of</w:t>
      </w:r>
      <w:r w:rsidR="005F393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CE35AF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MCS-capable</w:t>
      </w:r>
      <w:r w:rsidR="00926CF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="00CE35AF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Class 8 trucks 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to meet the demand </w:t>
      </w:r>
      <w:r w:rsidR="000715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with 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energy </w:t>
      </w:r>
      <w:r w:rsidR="000715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available 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from its expanding MCS</w:t>
      </w:r>
      <w:r w:rsidR="00926CF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capable </w:t>
      </w:r>
      <w:r w:rsidR="00926CF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charging </w:t>
      </w:r>
      <w:r w:rsidR="00E678B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depot network</w:t>
      </w:r>
      <w:r w:rsidR="0015636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</w:p>
    <w:p w14:paraId="3F3A2EBC" w14:textId="77777777" w:rsidR="001A1D6F" w:rsidRDefault="001A1D6F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C62975D" w14:textId="19B13B3C" w:rsidR="006C6A81" w:rsidRPr="00556A80" w:rsidRDefault="00A6152D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“</w:t>
      </w:r>
      <w:r w:rsidR="00546ED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We</w:t>
      </w:r>
      <w:r w:rsidR="007A4F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’re </w:t>
      </w:r>
      <w:r w:rsidR="00546ED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encouraged </w:t>
      </w:r>
      <w:r w:rsidR="007A4F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to </w:t>
      </w:r>
      <w:r w:rsidR="00546ED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see</w:t>
      </w:r>
      <w:r w:rsidR="007A4F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546ED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major manufacturers like Tesla stepping forward with future delivery of trucks with Megawatt charging capability</w:t>
      </w:r>
      <w:r w:rsidR="007A4F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,” he said</w:t>
      </w:r>
      <w:r w:rsidR="00546ED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="007A4F3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“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Reducing the charge time to less than 30 minutes for a 300-mile range will be a game</w:t>
      </w:r>
      <w:r w:rsidR="00E42F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changer in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B231D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adoption of electric trucks</w:t>
      </w:r>
      <w:r w:rsidR="00C10D6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We developed all of our charging facilities to allow for transition</w:t>
      </w:r>
      <w:r w:rsidR="00EA0AB0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ing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from </w:t>
      </w:r>
      <w:r w:rsidR="006C6A8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current</w:t>
      </w:r>
      <w:r w:rsidR="006C6A8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CCS charging</w:t>
      </w:r>
      <w:r w:rsidR="00CA4B2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standard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to the </w:t>
      </w:r>
      <w:r w:rsidR="00CA4B2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new 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fast MCS charging</w:t>
      </w:r>
      <w:r w:rsidR="002005BC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in preparation for this </w:t>
      </w:r>
      <w:r w:rsidR="002005BC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evolution</w:t>
      </w:r>
      <w:r w:rsidR="006C6A8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="00CD064D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”</w:t>
      </w:r>
    </w:p>
    <w:p w14:paraId="0DB8507D" w14:textId="77777777" w:rsidR="006C6A81" w:rsidRPr="00556A80" w:rsidRDefault="006C6A81" w:rsidP="002A7A5F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5CCBC585" w14:textId="26E21833" w:rsidR="006C6A81" w:rsidRPr="00556A80" w:rsidRDefault="009C5E4E" w:rsidP="002A7A5F">
      <w:pPr>
        <w:pStyle w:val="NoSpacing"/>
        <w:rPr>
          <w:rFonts w:ascii="Arial" w:hAnsi="Arial" w:cs="Arial"/>
          <w:sz w:val="24"/>
          <w:szCs w:val="24"/>
        </w:rPr>
      </w:pPr>
      <w:r w:rsidRPr="00556A80">
        <w:rPr>
          <w:rFonts w:ascii="Arial" w:hAnsi="Arial" w:cs="Arial"/>
          <w:sz w:val="24"/>
          <w:szCs w:val="24"/>
          <w:bdr w:val="none" w:sz="0" w:space="0" w:color="auto" w:frame="1"/>
        </w:rPr>
        <w:t>Youssefzadeh said</w:t>
      </w:r>
      <w:r w:rsidR="009D3E62">
        <w:rPr>
          <w:rFonts w:ascii="Arial" w:hAnsi="Arial" w:cs="Arial"/>
          <w:sz w:val="24"/>
          <w:szCs w:val="24"/>
          <w:bdr w:val="none" w:sz="0" w:space="0" w:color="auto" w:frame="1"/>
        </w:rPr>
        <w:t xml:space="preserve"> the</w:t>
      </w:r>
      <w:r w:rsidR="00AF69C5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 trucks </w:t>
      </w:r>
      <w:r w:rsidR="009D3E62">
        <w:rPr>
          <w:rFonts w:ascii="Arial" w:hAnsi="Arial" w:cs="Arial"/>
          <w:sz w:val="24"/>
          <w:szCs w:val="24"/>
          <w:bdr w:val="none" w:sz="0" w:space="0" w:color="auto" w:frame="1"/>
        </w:rPr>
        <w:t xml:space="preserve">on its platform </w:t>
      </w:r>
      <w:r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will be </w:t>
      </w:r>
      <w:r w:rsidR="006C6A81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deployed via WattEV’s Truck-as-a-Service </w:t>
      </w:r>
      <w:r w:rsidR="003267BB">
        <w:rPr>
          <w:rFonts w:ascii="Arial" w:hAnsi="Arial" w:cs="Arial"/>
          <w:sz w:val="24"/>
          <w:szCs w:val="24"/>
          <w:bdr w:val="none" w:sz="0" w:space="0" w:color="auto" w:frame="1"/>
        </w:rPr>
        <w:t xml:space="preserve">(TaaS) </w:t>
      </w:r>
      <w:r w:rsidR="006C6A81" w:rsidRPr="00556A80">
        <w:rPr>
          <w:rFonts w:ascii="Arial" w:hAnsi="Arial" w:cs="Arial"/>
          <w:sz w:val="24"/>
          <w:szCs w:val="24"/>
          <w:bdr w:val="none" w:sz="0" w:space="0" w:color="auto" w:frame="1"/>
        </w:rPr>
        <w:t>operations</w:t>
      </w:r>
      <w:r w:rsidR="006B515D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 and charged </w:t>
      </w:r>
      <w:r w:rsidR="006C6A81" w:rsidRPr="00556A80">
        <w:rPr>
          <w:rFonts w:ascii="Arial" w:hAnsi="Arial" w:cs="Arial"/>
          <w:sz w:val="24"/>
          <w:szCs w:val="24"/>
          <w:bdr w:val="none" w:sz="0" w:space="0" w:color="auto" w:frame="1"/>
        </w:rPr>
        <w:t>at WattEV’s growing, public, rapid-charge depot network – f</w:t>
      </w:r>
      <w:r w:rsidR="009D3E62">
        <w:rPr>
          <w:rFonts w:ascii="Arial" w:hAnsi="Arial" w:cs="Arial"/>
          <w:sz w:val="24"/>
          <w:szCs w:val="24"/>
          <w:bdr w:val="none" w:sz="0" w:space="0" w:color="auto" w:frame="1"/>
        </w:rPr>
        <w:t>ive</w:t>
      </w:r>
      <w:r w:rsidR="006C6A81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 open now in California</w:t>
      </w:r>
      <w:r w:rsidR="005D7F2F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 with the </w:t>
      </w:r>
      <w:r w:rsidR="00E42F76">
        <w:rPr>
          <w:rFonts w:ascii="Arial" w:hAnsi="Arial" w:cs="Arial"/>
          <w:sz w:val="24"/>
          <w:szCs w:val="24"/>
          <w:bdr w:val="none" w:sz="0" w:space="0" w:color="auto" w:frame="1"/>
        </w:rPr>
        <w:t xml:space="preserve">world’s </w:t>
      </w:r>
      <w:r w:rsidR="005D7F2F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largest </w:t>
      </w:r>
      <w:r w:rsidR="00E42F76">
        <w:rPr>
          <w:rFonts w:ascii="Arial" w:hAnsi="Arial" w:cs="Arial"/>
          <w:sz w:val="24"/>
          <w:szCs w:val="24"/>
          <w:bdr w:val="none" w:sz="0" w:space="0" w:color="auto" w:frame="1"/>
        </w:rPr>
        <w:t xml:space="preserve">truck charging depot </w:t>
      </w:r>
      <w:r w:rsidR="005D7F2F" w:rsidRPr="00556A80">
        <w:rPr>
          <w:rFonts w:ascii="Arial" w:hAnsi="Arial" w:cs="Arial"/>
          <w:sz w:val="24"/>
          <w:szCs w:val="24"/>
          <w:bdr w:val="none" w:sz="0" w:space="0" w:color="auto" w:frame="1"/>
        </w:rPr>
        <w:t>in Bakersfield featuring MCS chargers</w:t>
      </w:r>
      <w:r w:rsidR="00944636">
        <w:rPr>
          <w:rFonts w:ascii="Arial" w:hAnsi="Arial" w:cs="Arial"/>
          <w:sz w:val="24"/>
          <w:szCs w:val="24"/>
          <w:bdr w:val="none" w:sz="0" w:space="0" w:color="auto" w:frame="1"/>
        </w:rPr>
        <w:t>, solar power and battery storage</w:t>
      </w:r>
      <w:r w:rsidR="00E42F76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  <w:r w:rsidR="007F3992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14:paraId="284D20CB" w14:textId="77777777" w:rsidR="006C6A81" w:rsidRPr="00556A80" w:rsidRDefault="006C6A81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7D19FC5" w14:textId="2147DA21" w:rsidR="005D7F2F" w:rsidRDefault="00056B42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“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We have demonstrated that </w:t>
      </w:r>
      <w:r w:rsidR="00E42F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infrastructure for </w:t>
      </w:r>
      <w:r w:rsidR="002005BC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heavy-duty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truck 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transport with megawatt charging </w:t>
      </w:r>
      <w:r w:rsidR="0087061F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– and </w:t>
      </w:r>
      <w:r w:rsidR="002005BC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necessary power </w:t>
      </w:r>
      <w:r w:rsidR="0087061F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– is 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available today and can be expanded</w:t>
      </w:r>
      <w:r w:rsidR="002438D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,” Youssefzadeh said. “</w:t>
      </w:r>
      <w:r w:rsidR="00AF69C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</w:t>
      </w:r>
      <w:r w:rsidR="00991F6B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ith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3A66F0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availability </w:t>
      </w:r>
      <w:r w:rsidR="00644EE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of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trucks</w:t>
      </w:r>
      <w:r w:rsidR="00991F6B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at the right price point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with </w:t>
      </w:r>
      <w:r w:rsidR="00991F6B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fast</w:t>
      </w:r>
      <w:r w:rsidR="00FF6477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="003A66F0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charging capability</w:t>
      </w:r>
      <w:r w:rsidR="009D3E6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necessary range</w:t>
      </w:r>
      <w:r w:rsidR="00FF6477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we’re </w:t>
      </w:r>
      <w:r w:rsidR="001205B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confident </w:t>
      </w:r>
      <w:r w:rsidR="009D3E6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market adoption will increase rapidly</w:t>
      </w:r>
      <w:r w:rsidR="002438D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="00031DE4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”</w:t>
      </w:r>
    </w:p>
    <w:p w14:paraId="1041C515" w14:textId="77777777" w:rsidR="005768AA" w:rsidRDefault="005768AA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93DD5BB" w14:textId="3A6A4D20" w:rsidR="00BC57F2" w:rsidRDefault="005A3266" w:rsidP="007E03F7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WattEV’s announcement </w:t>
      </w:r>
      <w:r w:rsidR="0069022B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was delivered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during </w:t>
      </w:r>
      <w:r w:rsidR="00CD04FA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 press conference </w:t>
      </w:r>
      <w:r w:rsidR="002F4EDF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at</w:t>
      </w:r>
      <w:r w:rsidR="00CD04FA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the annual </w:t>
      </w:r>
      <w:r w:rsidR="00B3454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Advanced Clean Transportation Expo (</w:t>
      </w:r>
      <w:hyperlink r:id="rId8" w:history="1">
        <w:r w:rsidR="00B34545" w:rsidRPr="00556A80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ACT Expo</w:t>
        </w:r>
      </w:hyperlink>
      <w:r w:rsidR="00B3454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 at the Las Vegas Convention Center.</w:t>
      </w:r>
      <w:r w:rsidR="007E03F7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A160EB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WattEV </w:t>
      </w:r>
      <w:r w:rsidR="005E3D3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has spent the past three years </w:t>
      </w:r>
      <w:r w:rsidR="00923A2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building out</w:t>
      </w:r>
      <w:r w:rsidR="005E3D3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the </w:t>
      </w:r>
      <w:r w:rsidR="00D04909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freight </w:t>
      </w:r>
      <w:r w:rsidR="005E3D3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corridor</w:t>
      </w:r>
      <w:r w:rsidR="003B0890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</w:t>
      </w:r>
      <w:r w:rsidR="005E3D3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D04909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in </w:t>
      </w:r>
      <w:r w:rsidR="00BC57F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California</w:t>
      </w:r>
      <w:r w:rsidR="00E42F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neighboring states for </w:t>
      </w:r>
      <w:r w:rsidR="00D04909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nation</w:t>
      </w:r>
      <w:r w:rsidR="00E42F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’s</w:t>
      </w:r>
      <w:r w:rsidR="00D04909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E42F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first </w:t>
      </w:r>
      <w:r w:rsidR="005E3D3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public-access </w:t>
      </w:r>
      <w:r w:rsidR="004D1121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MHD </w:t>
      </w:r>
      <w:r w:rsidR="005E3D3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electric vehicle charging</w:t>
      </w:r>
      <w:r w:rsidR="007B70F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network</w:t>
      </w:r>
      <w:r w:rsidR="005E3D35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  <w:r w:rsidR="003B5A17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This includes </w:t>
      </w:r>
      <w:r w:rsidR="00B3314D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large-scale solar-powered </w:t>
      </w:r>
      <w:r w:rsidR="001B2E7D" w:rsidRPr="00556A80">
        <w:rPr>
          <w:rFonts w:ascii="Arial" w:hAnsi="Arial" w:cs="Arial"/>
          <w:sz w:val="24"/>
          <w:szCs w:val="24"/>
          <w:bdr w:val="none" w:sz="0" w:space="0" w:color="auto" w:frame="1"/>
        </w:rPr>
        <w:t>charging depot</w:t>
      </w:r>
      <w:r w:rsidR="003B5A17" w:rsidRPr="00556A80">
        <w:rPr>
          <w:rFonts w:ascii="Arial" w:hAnsi="Arial" w:cs="Arial"/>
          <w:sz w:val="24"/>
          <w:szCs w:val="24"/>
          <w:bdr w:val="none" w:sz="0" w:space="0" w:color="auto" w:frame="1"/>
        </w:rPr>
        <w:t>s</w:t>
      </w:r>
      <w:r w:rsidR="001B2E7D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E42F76">
        <w:rPr>
          <w:rFonts w:ascii="Arial" w:hAnsi="Arial" w:cs="Arial"/>
          <w:sz w:val="24"/>
          <w:szCs w:val="24"/>
          <w:bdr w:val="none" w:sz="0" w:space="0" w:color="auto" w:frame="1"/>
        </w:rPr>
        <w:t xml:space="preserve">from San Diego to </w:t>
      </w:r>
      <w:r w:rsidR="009D1C76" w:rsidRPr="00556A80">
        <w:rPr>
          <w:rFonts w:ascii="Arial" w:hAnsi="Arial" w:cs="Arial"/>
          <w:sz w:val="24"/>
          <w:szCs w:val="24"/>
          <w:bdr w:val="none" w:sz="0" w:space="0" w:color="auto" w:frame="1"/>
        </w:rPr>
        <w:t>Seattle-Tacoma</w:t>
      </w:r>
      <w:r w:rsidR="003B5A17" w:rsidRPr="00556A80">
        <w:rPr>
          <w:rFonts w:ascii="Arial" w:hAnsi="Arial" w:cs="Arial"/>
          <w:sz w:val="24"/>
          <w:szCs w:val="24"/>
          <w:bdr w:val="none" w:sz="0" w:space="0" w:color="auto" w:frame="1"/>
        </w:rPr>
        <w:t>,</w:t>
      </w:r>
      <w:r w:rsidR="009D1C76" w:rsidRPr="00556A80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3B5A17" w:rsidRPr="00556A80">
        <w:rPr>
          <w:rFonts w:ascii="Arial" w:hAnsi="Arial" w:cs="Arial"/>
          <w:sz w:val="24"/>
          <w:szCs w:val="24"/>
          <w:bdr w:val="none" w:sz="0" w:space="0" w:color="auto" w:frame="1"/>
        </w:rPr>
        <w:t>on Interstate 5</w:t>
      </w:r>
      <w:r w:rsidR="00A420D6">
        <w:rPr>
          <w:rFonts w:ascii="Arial" w:hAnsi="Arial" w:cs="Arial"/>
          <w:sz w:val="24"/>
          <w:szCs w:val="24"/>
          <w:bdr w:val="none" w:sz="0" w:space="0" w:color="auto" w:frame="1"/>
        </w:rPr>
        <w:t xml:space="preserve"> and </w:t>
      </w:r>
      <w:r w:rsidR="007600C8">
        <w:rPr>
          <w:rFonts w:ascii="Arial" w:hAnsi="Arial" w:cs="Arial"/>
          <w:sz w:val="24"/>
          <w:szCs w:val="24"/>
          <w:bdr w:val="none" w:sz="0" w:space="0" w:color="auto" w:frame="1"/>
        </w:rPr>
        <w:t xml:space="preserve">along the </w:t>
      </w:r>
      <w:r w:rsidR="00E42F76">
        <w:rPr>
          <w:rFonts w:ascii="Arial" w:hAnsi="Arial" w:cs="Arial"/>
          <w:sz w:val="24"/>
          <w:szCs w:val="24"/>
          <w:bdr w:val="none" w:sz="0" w:space="0" w:color="auto" w:frame="1"/>
        </w:rPr>
        <w:t xml:space="preserve">CA 99 </w:t>
      </w:r>
      <w:r w:rsidR="007600C8">
        <w:rPr>
          <w:rFonts w:ascii="Arial" w:hAnsi="Arial" w:cs="Arial"/>
          <w:sz w:val="24"/>
          <w:szCs w:val="24"/>
          <w:bdr w:val="none" w:sz="0" w:space="0" w:color="auto" w:frame="1"/>
        </w:rPr>
        <w:t>highway</w:t>
      </w:r>
      <w:r w:rsidR="00A420D6">
        <w:rPr>
          <w:rFonts w:ascii="Arial" w:hAnsi="Arial" w:cs="Arial"/>
          <w:sz w:val="24"/>
          <w:szCs w:val="24"/>
          <w:bdr w:val="none" w:sz="0" w:space="0" w:color="auto" w:frame="1"/>
        </w:rPr>
        <w:t xml:space="preserve">, </w:t>
      </w:r>
      <w:r w:rsidR="00E42F76">
        <w:rPr>
          <w:rFonts w:ascii="Arial" w:hAnsi="Arial" w:cs="Arial"/>
          <w:sz w:val="24"/>
          <w:szCs w:val="24"/>
          <w:bdr w:val="none" w:sz="0" w:space="0" w:color="auto" w:frame="1"/>
        </w:rPr>
        <w:t xml:space="preserve">and from Los Angeles to Phoenix, Arizona, on </w:t>
      </w:r>
      <w:r w:rsidR="00BC57F2">
        <w:rPr>
          <w:rFonts w:ascii="Arial" w:hAnsi="Arial" w:cs="Arial"/>
          <w:sz w:val="24"/>
          <w:szCs w:val="24"/>
          <w:bdr w:val="none" w:sz="0" w:space="0" w:color="auto" w:frame="1"/>
        </w:rPr>
        <w:t>I</w:t>
      </w:r>
      <w:r w:rsidR="00E42F76">
        <w:rPr>
          <w:rFonts w:ascii="Arial" w:hAnsi="Arial" w:cs="Arial"/>
          <w:sz w:val="24"/>
          <w:szCs w:val="24"/>
          <w:bdr w:val="none" w:sz="0" w:space="0" w:color="auto" w:frame="1"/>
        </w:rPr>
        <w:t xml:space="preserve">nterstate 10. </w:t>
      </w:r>
    </w:p>
    <w:p w14:paraId="00E78DF6" w14:textId="77777777" w:rsidR="00BC57F2" w:rsidRDefault="00BC57F2" w:rsidP="002A7A5F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40B45F32" w14:textId="12C31C4F" w:rsidR="00AE50C0" w:rsidRPr="00556A80" w:rsidRDefault="00775A34" w:rsidP="008F3D7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###</w:t>
      </w:r>
    </w:p>
    <w:p w14:paraId="50117DB9" w14:textId="77777777" w:rsidR="00AE50C0" w:rsidRDefault="00AE50C0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07F35E5" w14:textId="2EC3DBAD" w:rsidR="00A41F9E" w:rsidRPr="00556A80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To learn more about WattEV, visit </w:t>
      </w:r>
      <w:hyperlink r:id="rId9" w:tgtFrame="_blank" w:history="1">
        <w:r w:rsidRPr="00556A8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www.WattEV.com</w:t>
        </w:r>
      </w:hyperlink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</w:t>
      </w:r>
    </w:p>
    <w:p w14:paraId="143E0476" w14:textId="2495EC86" w:rsidR="00A41F9E" w:rsidRPr="00556A80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br/>
      </w:r>
      <w:r w:rsidRPr="00556A8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About WattEV </w:t>
      </w:r>
    </w:p>
    <w:p w14:paraId="2A3DDE70" w14:textId="294ADFF8" w:rsidR="00A41F9E" w:rsidRPr="00556A80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WattEV’s mission is to accelerate the transition of U.S. trucking transport to zero</w:t>
      </w:r>
      <w:r w:rsidR="003B5A17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emissions. Through a combination of business and technology innovations, WattEV creates charging infrastructure and data-driven workflows, providing truckers and fleet operators with the lowest total cost of ownership. WattEV’s goal is to </w:t>
      </w:r>
      <w:r w:rsidR="00E42F7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place</w:t>
      </w: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12,000 heavy-duty electric trucks on California roads by 2030, exceeding existing forecasts. </w:t>
      </w:r>
      <w:r w:rsidR="00B93E2C"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company plans to have 100 charging stations in operation by 2035. </w:t>
      </w:r>
    </w:p>
    <w:p w14:paraId="50FD7C29" w14:textId="723555DB" w:rsidR="00A41F9E" w:rsidRPr="00556A80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br/>
      </w:r>
      <w:r w:rsidRPr="00556A8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WattEV Media Contact</w:t>
      </w:r>
    </w:p>
    <w:p w14:paraId="27910138" w14:textId="77777777" w:rsidR="00A41F9E" w:rsidRPr="00556A80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Michael Coates</w:t>
      </w:r>
    </w:p>
    <w:p w14:paraId="00E89066" w14:textId="77777777" w:rsidR="00A41F9E" w:rsidRPr="00556A80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WattEV</w:t>
      </w:r>
    </w:p>
    <w:p w14:paraId="74F83E5E" w14:textId="77777777" w:rsidR="00A41F9E" w:rsidRPr="00556A80" w:rsidRDefault="00A41F9E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6A8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408.399.9081</w:t>
      </w:r>
    </w:p>
    <w:p w14:paraId="54C4E9EF" w14:textId="276801CB" w:rsidR="00A41F9E" w:rsidRPr="00556A80" w:rsidRDefault="00AE6307" w:rsidP="002A7A5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0" w:tgtFrame="_blank" w:history="1">
        <w:r w:rsidR="00A41F9E" w:rsidRPr="00556A8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media@WattEV.com</w:t>
        </w:r>
      </w:hyperlink>
    </w:p>
    <w:sectPr w:rsidR="00A41F9E" w:rsidRPr="00556A80" w:rsidSect="00E17FC1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9076" w14:textId="77777777" w:rsidR="006359F7" w:rsidRDefault="006359F7" w:rsidP="004B6EA6">
      <w:pPr>
        <w:spacing w:after="0" w:line="240" w:lineRule="auto"/>
      </w:pPr>
      <w:r>
        <w:separator/>
      </w:r>
    </w:p>
  </w:endnote>
  <w:endnote w:type="continuationSeparator" w:id="0">
    <w:p w14:paraId="02CDC7C0" w14:textId="77777777" w:rsidR="006359F7" w:rsidRDefault="006359F7" w:rsidP="004B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834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9CD109" w14:textId="0A11B26B" w:rsidR="004B6EA6" w:rsidRDefault="004B6E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1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1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CC95A" w14:textId="77777777" w:rsidR="004B6EA6" w:rsidRDefault="004B6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91B9" w14:textId="77777777" w:rsidR="006359F7" w:rsidRDefault="006359F7" w:rsidP="004B6EA6">
      <w:pPr>
        <w:spacing w:after="0" w:line="240" w:lineRule="auto"/>
      </w:pPr>
      <w:r>
        <w:separator/>
      </w:r>
    </w:p>
  </w:footnote>
  <w:footnote w:type="continuationSeparator" w:id="0">
    <w:p w14:paraId="13A4CF7E" w14:textId="77777777" w:rsidR="006359F7" w:rsidRDefault="006359F7" w:rsidP="004B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4A01"/>
    <w:multiLevelType w:val="multilevel"/>
    <w:tmpl w:val="B54C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5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3MLY0sDQ1MjM2NjRW0lEKTi0uzszPAykwrgUAMOtu2ywAAAA="/>
  </w:docVars>
  <w:rsids>
    <w:rsidRoot w:val="00A41F9E"/>
    <w:rsid w:val="00001D4B"/>
    <w:rsid w:val="0002162B"/>
    <w:rsid w:val="0003020C"/>
    <w:rsid w:val="00031333"/>
    <w:rsid w:val="00031DE4"/>
    <w:rsid w:val="00035188"/>
    <w:rsid w:val="000422E6"/>
    <w:rsid w:val="00043D51"/>
    <w:rsid w:val="0005038A"/>
    <w:rsid w:val="00056B20"/>
    <w:rsid w:val="00056B42"/>
    <w:rsid w:val="0006081B"/>
    <w:rsid w:val="0007153E"/>
    <w:rsid w:val="00072D2E"/>
    <w:rsid w:val="000910C0"/>
    <w:rsid w:val="00097867"/>
    <w:rsid w:val="000A4259"/>
    <w:rsid w:val="000B755C"/>
    <w:rsid w:val="000C748F"/>
    <w:rsid w:val="000C7923"/>
    <w:rsid w:val="000F2C0E"/>
    <w:rsid w:val="00101154"/>
    <w:rsid w:val="00101F73"/>
    <w:rsid w:val="001205B7"/>
    <w:rsid w:val="001272E2"/>
    <w:rsid w:val="0013597C"/>
    <w:rsid w:val="00136F86"/>
    <w:rsid w:val="001472BF"/>
    <w:rsid w:val="00152AD0"/>
    <w:rsid w:val="00156361"/>
    <w:rsid w:val="00161976"/>
    <w:rsid w:val="00162E06"/>
    <w:rsid w:val="0017118D"/>
    <w:rsid w:val="001873F8"/>
    <w:rsid w:val="0018797B"/>
    <w:rsid w:val="001900A2"/>
    <w:rsid w:val="00192587"/>
    <w:rsid w:val="001A1D6F"/>
    <w:rsid w:val="001A3DBF"/>
    <w:rsid w:val="001B25E4"/>
    <w:rsid w:val="001B2E7D"/>
    <w:rsid w:val="001B5467"/>
    <w:rsid w:val="001C6A7D"/>
    <w:rsid w:val="001D3330"/>
    <w:rsid w:val="001D3E6C"/>
    <w:rsid w:val="001F16AB"/>
    <w:rsid w:val="001F1923"/>
    <w:rsid w:val="001F42B2"/>
    <w:rsid w:val="001F7523"/>
    <w:rsid w:val="002005BC"/>
    <w:rsid w:val="00213584"/>
    <w:rsid w:val="00231115"/>
    <w:rsid w:val="002438D1"/>
    <w:rsid w:val="00252AF8"/>
    <w:rsid w:val="00263831"/>
    <w:rsid w:val="00266D8C"/>
    <w:rsid w:val="00270479"/>
    <w:rsid w:val="00274CAF"/>
    <w:rsid w:val="00276C99"/>
    <w:rsid w:val="00282D7A"/>
    <w:rsid w:val="00287A05"/>
    <w:rsid w:val="002A035F"/>
    <w:rsid w:val="002A7A5F"/>
    <w:rsid w:val="002B05F2"/>
    <w:rsid w:val="002D5F77"/>
    <w:rsid w:val="002E0243"/>
    <w:rsid w:val="002E0ADC"/>
    <w:rsid w:val="002F4EDF"/>
    <w:rsid w:val="00301DFC"/>
    <w:rsid w:val="00320143"/>
    <w:rsid w:val="003267BB"/>
    <w:rsid w:val="00332E79"/>
    <w:rsid w:val="00333896"/>
    <w:rsid w:val="00342A94"/>
    <w:rsid w:val="00345A01"/>
    <w:rsid w:val="00350302"/>
    <w:rsid w:val="00362FBC"/>
    <w:rsid w:val="00365689"/>
    <w:rsid w:val="00365A9D"/>
    <w:rsid w:val="00374473"/>
    <w:rsid w:val="00377204"/>
    <w:rsid w:val="003779C1"/>
    <w:rsid w:val="003A1386"/>
    <w:rsid w:val="003A66F0"/>
    <w:rsid w:val="003B0890"/>
    <w:rsid w:val="003B16B2"/>
    <w:rsid w:val="003B5A17"/>
    <w:rsid w:val="003D18E1"/>
    <w:rsid w:val="003D2BC8"/>
    <w:rsid w:val="003E36AA"/>
    <w:rsid w:val="003F25CD"/>
    <w:rsid w:val="00406289"/>
    <w:rsid w:val="0041155E"/>
    <w:rsid w:val="00411827"/>
    <w:rsid w:val="00416BDE"/>
    <w:rsid w:val="004249BD"/>
    <w:rsid w:val="00432B1D"/>
    <w:rsid w:val="00450C7D"/>
    <w:rsid w:val="00454C12"/>
    <w:rsid w:val="00466458"/>
    <w:rsid w:val="004722B0"/>
    <w:rsid w:val="00476295"/>
    <w:rsid w:val="004802A4"/>
    <w:rsid w:val="00483A9C"/>
    <w:rsid w:val="004903CD"/>
    <w:rsid w:val="004979D0"/>
    <w:rsid w:val="004A1439"/>
    <w:rsid w:val="004B1F7F"/>
    <w:rsid w:val="004B4C0E"/>
    <w:rsid w:val="004B6302"/>
    <w:rsid w:val="004B6B3D"/>
    <w:rsid w:val="004B6EA6"/>
    <w:rsid w:val="004C79DA"/>
    <w:rsid w:val="004D1121"/>
    <w:rsid w:val="004D155B"/>
    <w:rsid w:val="00545148"/>
    <w:rsid w:val="00546ED1"/>
    <w:rsid w:val="00556A80"/>
    <w:rsid w:val="005668BF"/>
    <w:rsid w:val="005768AA"/>
    <w:rsid w:val="005776B3"/>
    <w:rsid w:val="005903DC"/>
    <w:rsid w:val="005A3266"/>
    <w:rsid w:val="005A5274"/>
    <w:rsid w:val="005B3C47"/>
    <w:rsid w:val="005D0684"/>
    <w:rsid w:val="005D5689"/>
    <w:rsid w:val="005D7F2F"/>
    <w:rsid w:val="005E3D35"/>
    <w:rsid w:val="005F2077"/>
    <w:rsid w:val="005F3939"/>
    <w:rsid w:val="005F5A2C"/>
    <w:rsid w:val="006047DC"/>
    <w:rsid w:val="0061225A"/>
    <w:rsid w:val="00612ABC"/>
    <w:rsid w:val="00624E08"/>
    <w:rsid w:val="006359F7"/>
    <w:rsid w:val="0064034D"/>
    <w:rsid w:val="00644BCC"/>
    <w:rsid w:val="00644EE1"/>
    <w:rsid w:val="00647266"/>
    <w:rsid w:val="00661EB7"/>
    <w:rsid w:val="006669DA"/>
    <w:rsid w:val="00670E2A"/>
    <w:rsid w:val="00683296"/>
    <w:rsid w:val="0069022B"/>
    <w:rsid w:val="006B49AA"/>
    <w:rsid w:val="006B515D"/>
    <w:rsid w:val="006C6A81"/>
    <w:rsid w:val="006D6E40"/>
    <w:rsid w:val="006E2001"/>
    <w:rsid w:val="006E6884"/>
    <w:rsid w:val="006E7754"/>
    <w:rsid w:val="006F36CF"/>
    <w:rsid w:val="006F6552"/>
    <w:rsid w:val="00704553"/>
    <w:rsid w:val="0071783A"/>
    <w:rsid w:val="00724B6C"/>
    <w:rsid w:val="00731350"/>
    <w:rsid w:val="00737A90"/>
    <w:rsid w:val="00740BF5"/>
    <w:rsid w:val="00742C10"/>
    <w:rsid w:val="00753918"/>
    <w:rsid w:val="00755BB9"/>
    <w:rsid w:val="007578C4"/>
    <w:rsid w:val="007600C8"/>
    <w:rsid w:val="00775A34"/>
    <w:rsid w:val="007760A2"/>
    <w:rsid w:val="00786EAF"/>
    <w:rsid w:val="00787374"/>
    <w:rsid w:val="007A4F3E"/>
    <w:rsid w:val="007B1572"/>
    <w:rsid w:val="007B31F6"/>
    <w:rsid w:val="007B70F6"/>
    <w:rsid w:val="007C4FA7"/>
    <w:rsid w:val="007C67AF"/>
    <w:rsid w:val="007D1CFF"/>
    <w:rsid w:val="007D6B3F"/>
    <w:rsid w:val="007D753A"/>
    <w:rsid w:val="007E03F7"/>
    <w:rsid w:val="007E45B1"/>
    <w:rsid w:val="007E543B"/>
    <w:rsid w:val="007F3992"/>
    <w:rsid w:val="008044E9"/>
    <w:rsid w:val="00817A04"/>
    <w:rsid w:val="00824E8E"/>
    <w:rsid w:val="008351DE"/>
    <w:rsid w:val="00847114"/>
    <w:rsid w:val="00854F94"/>
    <w:rsid w:val="008655FA"/>
    <w:rsid w:val="0087061F"/>
    <w:rsid w:val="0087611E"/>
    <w:rsid w:val="008A16C6"/>
    <w:rsid w:val="008A38DA"/>
    <w:rsid w:val="008A679A"/>
    <w:rsid w:val="008B2728"/>
    <w:rsid w:val="008C609F"/>
    <w:rsid w:val="008C70B8"/>
    <w:rsid w:val="008C7217"/>
    <w:rsid w:val="008D0C01"/>
    <w:rsid w:val="008F1DD9"/>
    <w:rsid w:val="008F3D74"/>
    <w:rsid w:val="009068DF"/>
    <w:rsid w:val="00906E93"/>
    <w:rsid w:val="00906EB4"/>
    <w:rsid w:val="009078BD"/>
    <w:rsid w:val="00922A2F"/>
    <w:rsid w:val="0092313E"/>
    <w:rsid w:val="009234E8"/>
    <w:rsid w:val="00923A25"/>
    <w:rsid w:val="00926CF4"/>
    <w:rsid w:val="00933130"/>
    <w:rsid w:val="009361A6"/>
    <w:rsid w:val="00944636"/>
    <w:rsid w:val="00947AD1"/>
    <w:rsid w:val="009663A2"/>
    <w:rsid w:val="009816F2"/>
    <w:rsid w:val="009903FE"/>
    <w:rsid w:val="00991F6B"/>
    <w:rsid w:val="009B57B4"/>
    <w:rsid w:val="009C0376"/>
    <w:rsid w:val="009C2545"/>
    <w:rsid w:val="009C429A"/>
    <w:rsid w:val="009C5E4E"/>
    <w:rsid w:val="009D1C76"/>
    <w:rsid w:val="009D3E62"/>
    <w:rsid w:val="009D7C0D"/>
    <w:rsid w:val="009E2769"/>
    <w:rsid w:val="009F0106"/>
    <w:rsid w:val="009F01F6"/>
    <w:rsid w:val="009F71B9"/>
    <w:rsid w:val="00A007AA"/>
    <w:rsid w:val="00A017D7"/>
    <w:rsid w:val="00A106B3"/>
    <w:rsid w:val="00A1444A"/>
    <w:rsid w:val="00A160EB"/>
    <w:rsid w:val="00A201A8"/>
    <w:rsid w:val="00A20612"/>
    <w:rsid w:val="00A31BCE"/>
    <w:rsid w:val="00A377CA"/>
    <w:rsid w:val="00A41447"/>
    <w:rsid w:val="00A41F9E"/>
    <w:rsid w:val="00A420D6"/>
    <w:rsid w:val="00A52937"/>
    <w:rsid w:val="00A6152D"/>
    <w:rsid w:val="00A63440"/>
    <w:rsid w:val="00A65101"/>
    <w:rsid w:val="00A937BC"/>
    <w:rsid w:val="00AC1514"/>
    <w:rsid w:val="00AC276A"/>
    <w:rsid w:val="00AC7D6F"/>
    <w:rsid w:val="00AD1B74"/>
    <w:rsid w:val="00AD2672"/>
    <w:rsid w:val="00AD33F5"/>
    <w:rsid w:val="00AD6084"/>
    <w:rsid w:val="00AE50C0"/>
    <w:rsid w:val="00AE6307"/>
    <w:rsid w:val="00AF69C5"/>
    <w:rsid w:val="00B22459"/>
    <w:rsid w:val="00B231D1"/>
    <w:rsid w:val="00B233F6"/>
    <w:rsid w:val="00B2611D"/>
    <w:rsid w:val="00B30902"/>
    <w:rsid w:val="00B3314D"/>
    <w:rsid w:val="00B34545"/>
    <w:rsid w:val="00B4149F"/>
    <w:rsid w:val="00B42685"/>
    <w:rsid w:val="00B459C5"/>
    <w:rsid w:val="00B51853"/>
    <w:rsid w:val="00B53FF7"/>
    <w:rsid w:val="00B77A90"/>
    <w:rsid w:val="00B93600"/>
    <w:rsid w:val="00B93E2C"/>
    <w:rsid w:val="00B953E3"/>
    <w:rsid w:val="00BB6C98"/>
    <w:rsid w:val="00BB738C"/>
    <w:rsid w:val="00BC4708"/>
    <w:rsid w:val="00BC57F2"/>
    <w:rsid w:val="00BC6245"/>
    <w:rsid w:val="00BC7F20"/>
    <w:rsid w:val="00BE3EC3"/>
    <w:rsid w:val="00BE4CE0"/>
    <w:rsid w:val="00BE7646"/>
    <w:rsid w:val="00C0049C"/>
    <w:rsid w:val="00C01918"/>
    <w:rsid w:val="00C03A34"/>
    <w:rsid w:val="00C10D62"/>
    <w:rsid w:val="00C17D41"/>
    <w:rsid w:val="00C32727"/>
    <w:rsid w:val="00C36E52"/>
    <w:rsid w:val="00C437D6"/>
    <w:rsid w:val="00C54813"/>
    <w:rsid w:val="00C624D5"/>
    <w:rsid w:val="00C665A5"/>
    <w:rsid w:val="00C67FD3"/>
    <w:rsid w:val="00C71B47"/>
    <w:rsid w:val="00C73174"/>
    <w:rsid w:val="00C74D5C"/>
    <w:rsid w:val="00C75C7F"/>
    <w:rsid w:val="00C76DD2"/>
    <w:rsid w:val="00C937A9"/>
    <w:rsid w:val="00CA0FF9"/>
    <w:rsid w:val="00CA2C1B"/>
    <w:rsid w:val="00CA4B2D"/>
    <w:rsid w:val="00CC0232"/>
    <w:rsid w:val="00CC13E3"/>
    <w:rsid w:val="00CC1B47"/>
    <w:rsid w:val="00CC40B1"/>
    <w:rsid w:val="00CC6187"/>
    <w:rsid w:val="00CD04FA"/>
    <w:rsid w:val="00CD064D"/>
    <w:rsid w:val="00CD11EF"/>
    <w:rsid w:val="00CD4067"/>
    <w:rsid w:val="00CE35AF"/>
    <w:rsid w:val="00CE48E4"/>
    <w:rsid w:val="00CE593B"/>
    <w:rsid w:val="00D04909"/>
    <w:rsid w:val="00D06163"/>
    <w:rsid w:val="00D16A63"/>
    <w:rsid w:val="00D23162"/>
    <w:rsid w:val="00D3244C"/>
    <w:rsid w:val="00D3470F"/>
    <w:rsid w:val="00D36E00"/>
    <w:rsid w:val="00D65A1F"/>
    <w:rsid w:val="00D66EEF"/>
    <w:rsid w:val="00D70542"/>
    <w:rsid w:val="00D74CBF"/>
    <w:rsid w:val="00D828F5"/>
    <w:rsid w:val="00D8518B"/>
    <w:rsid w:val="00DA08DF"/>
    <w:rsid w:val="00DA7DC7"/>
    <w:rsid w:val="00DD09EA"/>
    <w:rsid w:val="00DD2ADA"/>
    <w:rsid w:val="00DD584E"/>
    <w:rsid w:val="00DE0099"/>
    <w:rsid w:val="00DF3E56"/>
    <w:rsid w:val="00DF4B9E"/>
    <w:rsid w:val="00DF635B"/>
    <w:rsid w:val="00E02751"/>
    <w:rsid w:val="00E02AC8"/>
    <w:rsid w:val="00E17FC1"/>
    <w:rsid w:val="00E26251"/>
    <w:rsid w:val="00E42F76"/>
    <w:rsid w:val="00E54F27"/>
    <w:rsid w:val="00E61248"/>
    <w:rsid w:val="00E678B2"/>
    <w:rsid w:val="00E80B8D"/>
    <w:rsid w:val="00E91E5B"/>
    <w:rsid w:val="00E93117"/>
    <w:rsid w:val="00E95C49"/>
    <w:rsid w:val="00EA0AB0"/>
    <w:rsid w:val="00EB0166"/>
    <w:rsid w:val="00EB4265"/>
    <w:rsid w:val="00EB4C9E"/>
    <w:rsid w:val="00EC3EA2"/>
    <w:rsid w:val="00EC6D8C"/>
    <w:rsid w:val="00ED2356"/>
    <w:rsid w:val="00EE164C"/>
    <w:rsid w:val="00EE1D04"/>
    <w:rsid w:val="00EE5467"/>
    <w:rsid w:val="00EF2116"/>
    <w:rsid w:val="00F00A60"/>
    <w:rsid w:val="00F0436D"/>
    <w:rsid w:val="00F1469B"/>
    <w:rsid w:val="00F22A18"/>
    <w:rsid w:val="00F2302C"/>
    <w:rsid w:val="00F2546C"/>
    <w:rsid w:val="00F309E0"/>
    <w:rsid w:val="00F35F63"/>
    <w:rsid w:val="00F41435"/>
    <w:rsid w:val="00F50FE0"/>
    <w:rsid w:val="00F659D6"/>
    <w:rsid w:val="00F76BFC"/>
    <w:rsid w:val="00F80E51"/>
    <w:rsid w:val="00F93610"/>
    <w:rsid w:val="00F97848"/>
    <w:rsid w:val="00FC0D35"/>
    <w:rsid w:val="00FC1EF5"/>
    <w:rsid w:val="00FC4334"/>
    <w:rsid w:val="00FC4B42"/>
    <w:rsid w:val="00FC68E3"/>
    <w:rsid w:val="00FD5B5C"/>
    <w:rsid w:val="00FE5B45"/>
    <w:rsid w:val="00FE774B"/>
    <w:rsid w:val="00FE7C2D"/>
    <w:rsid w:val="00FF64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C565"/>
  <w15:chartTrackingRefBased/>
  <w15:docId w15:val="{0068CCEC-B8AF-4D86-A9C6-DD935FD6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9E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5A5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A6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A6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345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45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689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89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89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6B49AA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xp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edia@WattE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ttev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Fulks</dc:creator>
  <cp:keywords/>
  <dc:description/>
  <cp:lastModifiedBy>Berg-Ganzarain, Jonah</cp:lastModifiedBy>
  <cp:revision>2</cp:revision>
  <cp:lastPrinted>2024-05-16T17:55:00Z</cp:lastPrinted>
  <dcterms:created xsi:type="dcterms:W3CDTF">2024-05-22T18:54:00Z</dcterms:created>
  <dcterms:modified xsi:type="dcterms:W3CDTF">2024-05-22T18:54:00Z</dcterms:modified>
</cp:coreProperties>
</file>