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2">
      <w:pPr>
        <w:spacing w:after="0" w:line="2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Westport CEO Dan Sceli to Discuss Business Case for RNG during ACT Expo Panel </w:t>
        <w:br w:type="textWrapping"/>
      </w:r>
    </w:p>
    <w:p w:rsidR="00000000" w:rsidDel="00000000" w:rsidP="00000000" w:rsidRDefault="00000000" w:rsidRPr="00000000" w14:paraId="00000003">
      <w:pPr>
        <w:spacing w:after="0" w:line="240" w:lineRule="auto"/>
        <w:jc w:val="center"/>
        <w:rPr>
          <w:rFonts w:ascii="Calibri" w:cs="Calibri" w:eastAsia="Calibri" w:hAnsi="Calibri"/>
          <w:i w:val="1"/>
          <w:iCs w:val="1"/>
          <w:highlight w:val="yellow"/>
        </w:rPr>
      </w:pPr>
      <w:r w:rsidDel="00000000" w:rsidR="00000000" w:rsidRPr="00000000">
        <w:rPr>
          <w:rFonts w:ascii="Calibri" w:cs="Calibri" w:eastAsia="Calibri" w:hAnsi="Calibri"/>
          <w:i w:val="1"/>
          <w:iCs w:val="1"/>
          <w:rtl w:val="0"/>
        </w:rPr>
        <w:t xml:space="preserve">May 6 panel of clean energy leaders will dive into dissect the market, policy and credit</w:t>
      </w:r>
      <w:r w:rsidDel="00000000" w:rsidR="00000000" w:rsidRPr="00000000">
        <w:rPr>
          <w:rFonts w:ascii="Cambria Math" w:cs="Cambria Math" w:eastAsia="Cambria Math" w:hAnsi="Cambria Math"/>
          <w:i w:val="1"/>
          <w:iCs w:val="1"/>
          <w:rtl w:val="0"/>
        </w:rPr>
        <w:t xml:space="preserve">‑</w:t>
      </w:r>
      <w:r w:rsidDel="00000000" w:rsidR="00000000" w:rsidRPr="00000000">
        <w:rPr>
          <w:rFonts w:ascii="Calibri" w:cs="Calibri" w:eastAsia="Calibri" w:hAnsi="Calibri"/>
          <w:i w:val="1"/>
          <w:iCs w:val="1"/>
          <w:rtl w:val="0"/>
        </w:rPr>
        <w:t xml:space="preserve">driven forces shaping RNG investment and long</w:t>
      </w:r>
      <w:r w:rsidDel="00000000" w:rsidR="00000000" w:rsidRPr="00000000">
        <w:rPr>
          <w:rFonts w:ascii="Cambria Math" w:cs="Cambria Math" w:eastAsia="Cambria Math" w:hAnsi="Cambria Math"/>
          <w:i w:val="1"/>
          <w:iCs w:val="1"/>
          <w:rtl w:val="0"/>
        </w:rPr>
        <w:t xml:space="preserve">‑</w:t>
      </w:r>
      <w:r w:rsidDel="00000000" w:rsidR="00000000" w:rsidRPr="00000000">
        <w:rPr>
          <w:rFonts w:ascii="Calibri" w:cs="Calibri" w:eastAsia="Calibri" w:hAnsi="Calibri"/>
          <w:i w:val="1"/>
          <w:iCs w:val="1"/>
          <w:rtl w:val="0"/>
        </w:rPr>
        <w:t xml:space="preserve">term growth</w:t>
      </w:r>
      <w:r w:rsidDel="00000000" w:rsidR="00000000" w:rsidRPr="00000000">
        <w:rPr>
          <w:rtl w:val="0"/>
        </w:rPr>
      </w:r>
    </w:p>
    <w:p w:rsidR="00000000" w:rsidDel="00000000" w:rsidP="00000000" w:rsidRDefault="00000000" w:rsidRPr="00000000" w14:paraId="00000004">
      <w:pPr>
        <w:spacing w:after="0"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05">
      <w:pPr>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VANCOUVER, B.C. – </w:t>
      </w:r>
      <w:r w:rsidDel="00000000" w:rsidR="00000000" w:rsidRPr="00000000">
        <w:rPr>
          <w:rFonts w:ascii="Calibri" w:cs="Calibri" w:eastAsia="Calibri" w:hAnsi="Calibri"/>
          <w:b w:val="1"/>
          <w:bCs w:val="1"/>
          <w:highlight w:val="yellow"/>
          <w:rtl w:val="0"/>
        </w:rPr>
        <w:t xml:space="preserve">May 4</w:t>
      </w:r>
      <w:r w:rsidDel="00000000" w:rsidR="00000000" w:rsidRPr="00000000">
        <w:rPr>
          <w:rFonts w:ascii="Calibri" w:cs="Calibri" w:eastAsia="Calibri" w:hAnsi="Calibri"/>
          <w:b w:val="1"/>
          <w:bCs w:val="1"/>
          <w:rtl w:val="0"/>
        </w:rPr>
        <w:t xml:space="preserve">, 2026 –</w:t>
      </w:r>
      <w:r w:rsidDel="00000000" w:rsidR="00000000" w:rsidRPr="00000000">
        <w:rPr>
          <w:rFonts w:ascii="Calibri" w:cs="Calibri" w:eastAsia="Calibri" w:hAnsi="Calibri"/>
          <w:rtl w:val="0"/>
        </w:rPr>
        <w:t xml:space="preserve"> </w:t>
      </w:r>
      <w:hyperlink r:id="rId6">
        <w:r w:rsidDel="00000000" w:rsidR="00000000" w:rsidRPr="00000000">
          <w:rPr>
            <w:rFonts w:ascii="Calibri" w:cs="Calibri" w:eastAsia="Calibri" w:hAnsi="Calibri"/>
            <w:color w:val="467886"/>
            <w:u w:val="single"/>
            <w:rtl w:val="0"/>
          </w:rPr>
          <w:t xml:space="preserve">Westport</w:t>
        </w:r>
      </w:hyperlink>
      <w:r w:rsidDel="00000000" w:rsidR="00000000" w:rsidRPr="00000000">
        <w:rPr>
          <w:rFonts w:ascii="Calibri" w:cs="Calibri" w:eastAsia="Calibri" w:hAnsi="Calibri"/>
          <w:rtl w:val="0"/>
        </w:rPr>
        <w:t xml:space="preserve"> (TSX:WPRT / Nasdaq:WPRT), a global leader in advanced alternative fuel systems for the transportation industry, today announced that its CEO Dan Sceli will join a panel of industry</w:t>
      </w:r>
      <w:r w:rsidDel="00000000" w:rsidR="00000000" w:rsidRPr="00000000">
        <w:rPr>
          <w:rFonts w:ascii="Cambria Math" w:cs="Cambria Math" w:eastAsia="Cambria Math" w:hAnsi="Cambria Math"/>
          <w:rtl w:val="0"/>
        </w:rPr>
        <w:t xml:space="preserve">‑</w:t>
      </w:r>
      <w:r w:rsidDel="00000000" w:rsidR="00000000" w:rsidRPr="00000000">
        <w:rPr>
          <w:rFonts w:ascii="Calibri" w:cs="Calibri" w:eastAsia="Calibri" w:hAnsi="Calibri"/>
          <w:rtl w:val="0"/>
        </w:rPr>
        <w:t xml:space="preserve">leading CEOs during the RNG Roundup at ACT Expo 2026 to discuss the long</w:t>
      </w:r>
      <w:r w:rsidDel="00000000" w:rsidR="00000000" w:rsidRPr="00000000">
        <w:rPr>
          <w:rFonts w:ascii="Cambria Math" w:cs="Cambria Math" w:eastAsia="Cambria Math" w:hAnsi="Cambria Math"/>
          <w:rtl w:val="0"/>
        </w:rPr>
        <w:t xml:space="preserve">‑</w:t>
      </w:r>
      <w:r w:rsidDel="00000000" w:rsidR="00000000" w:rsidRPr="00000000">
        <w:rPr>
          <w:rFonts w:ascii="Calibri" w:cs="Calibri" w:eastAsia="Calibri" w:hAnsi="Calibri"/>
          <w:rtl w:val="0"/>
        </w:rPr>
        <w:t xml:space="preserve">term business case for renewable natural gas (RNG) and the strategic commitments shaping the sector’s next decade. </w:t>
      </w:r>
    </w:p>
    <w:p w:rsidR="00000000" w:rsidDel="00000000" w:rsidP="00000000" w:rsidRDefault="00000000" w:rsidRPr="00000000" w14:paraId="0000000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WHERE:</w:t>
      </w:r>
      <w:r w:rsidDel="00000000" w:rsidR="00000000" w:rsidRPr="00000000">
        <w:rPr>
          <w:rFonts w:ascii="Calibri" w:cs="Calibri" w:eastAsia="Calibri" w:hAnsi="Calibri"/>
          <w:rtl w:val="0"/>
        </w:rPr>
        <w:tab/>
      </w:r>
      <w:r w:rsidDel="00000000" w:rsidR="00000000" w:rsidRPr="00000000">
        <w:rPr>
          <w:rFonts w:ascii="Calibri" w:cs="Calibri" w:eastAsia="Calibri" w:hAnsi="Calibri"/>
          <w:rtl w:val="0"/>
        </w:rPr>
        <w:t xml:space="preserve">RNG Roundup</w:t>
      </w:r>
      <w:r w:rsidDel="00000000" w:rsidR="00000000" w:rsidRPr="00000000">
        <w:rPr>
          <w:rFonts w:ascii="Calibri" w:cs="Calibri" w:eastAsia="Calibri" w:hAnsi="Calibri"/>
          <w:rtl w:val="0"/>
        </w:rPr>
        <w:t xml:space="preserve"> at </w:t>
      </w:r>
      <w:hyperlink r:id="rId7">
        <w:r w:rsidDel="00000000" w:rsidR="00000000" w:rsidRPr="00000000">
          <w:rPr>
            <w:rFonts w:ascii="Calibri" w:cs="Calibri" w:eastAsia="Calibri" w:hAnsi="Calibri"/>
            <w:color w:val="467886"/>
            <w:u w:val="single"/>
            <w:rtl w:val="0"/>
          </w:rPr>
          <w:t xml:space="preserve">ACT Expo 2026</w:t>
        </w:r>
      </w:hyperlink>
      <w:r w:rsidDel="00000000" w:rsidR="00000000" w:rsidRPr="00000000">
        <w:rPr>
          <w:rtl w:val="0"/>
        </w:rPr>
      </w:r>
    </w:p>
    <w:p w:rsidR="00000000" w:rsidDel="00000000" w:rsidP="00000000" w:rsidRDefault="00000000" w:rsidRPr="00000000" w14:paraId="00000008">
      <w:pPr>
        <w:spacing w:after="0" w:line="240" w:lineRule="auto"/>
        <w:rPr>
          <w:rFonts w:ascii="Calibri" w:cs="Calibri" w:eastAsia="Calibri" w:hAnsi="Calibri"/>
        </w:rPr>
      </w:pPr>
      <w:r w:rsidDel="00000000" w:rsidR="00000000" w:rsidRPr="00000000">
        <w:rPr>
          <w:rFonts w:ascii="Calibri" w:cs="Calibri" w:eastAsia="Calibri" w:hAnsi="Calibri"/>
          <w:rtl w:val="0"/>
        </w:rPr>
        <w:tab/>
        <w:tab/>
        <w:t xml:space="preserve">Room W208-W212 (Second Floor, West Hall)</w:t>
      </w:r>
    </w:p>
    <w:p w:rsidR="00000000" w:rsidDel="00000000" w:rsidP="00000000" w:rsidRDefault="00000000" w:rsidRPr="00000000" w14:paraId="00000009">
      <w:pPr>
        <w:spacing w:after="0" w:line="240" w:lineRule="auto"/>
        <w:ind w:left="720" w:firstLine="720"/>
        <w:rPr>
          <w:rFonts w:ascii="Calibri" w:cs="Calibri" w:eastAsia="Calibri" w:hAnsi="Calibri"/>
        </w:rPr>
      </w:pPr>
      <w:r w:rsidDel="00000000" w:rsidR="00000000" w:rsidRPr="00000000">
        <w:rPr>
          <w:rFonts w:ascii="Calibri" w:cs="Calibri" w:eastAsia="Calibri" w:hAnsi="Calibri"/>
          <w:rtl w:val="0"/>
        </w:rPr>
        <w:t xml:space="preserve">Las Vegas Convention Center</w:t>
      </w:r>
    </w:p>
    <w:p w:rsidR="00000000" w:rsidDel="00000000" w:rsidP="00000000" w:rsidRDefault="00000000" w:rsidRPr="00000000" w14:paraId="0000000A">
      <w:pPr>
        <w:spacing w:after="0" w:line="240" w:lineRule="auto"/>
        <w:ind w:left="720" w:firstLine="720"/>
        <w:rPr>
          <w:rFonts w:ascii="Calibri" w:cs="Calibri" w:eastAsia="Calibri" w:hAnsi="Calibri"/>
        </w:rPr>
      </w:pPr>
      <w:r w:rsidDel="00000000" w:rsidR="00000000" w:rsidRPr="00000000">
        <w:rPr>
          <w:rFonts w:ascii="Calibri" w:cs="Calibri" w:eastAsia="Calibri" w:hAnsi="Calibri"/>
          <w:rtl w:val="0"/>
        </w:rPr>
        <w:t xml:space="preserve">Las Vegas</w:t>
      </w:r>
    </w:p>
    <w:p w:rsidR="00000000" w:rsidDel="00000000" w:rsidP="00000000" w:rsidRDefault="00000000" w:rsidRPr="00000000" w14:paraId="0000000B">
      <w:pPr>
        <w:spacing w:after="0"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0C">
      <w:pPr>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WHAT:</w:t>
        <w:tab/>
      </w:r>
      <w:r w:rsidDel="00000000" w:rsidR="00000000" w:rsidRPr="00000000">
        <w:rPr>
          <w:rFonts w:ascii="Calibri" w:cs="Calibri" w:eastAsia="Calibri" w:hAnsi="Calibri"/>
          <w:rtl w:val="0"/>
        </w:rPr>
        <w:tab/>
      </w:r>
      <w:r w:rsidDel="00000000" w:rsidR="00000000" w:rsidRPr="00000000">
        <w:rPr>
          <w:rFonts w:ascii="Calibri" w:cs="Calibri" w:eastAsia="Calibri" w:hAnsi="Calibri"/>
          <w:rtl w:val="0"/>
        </w:rPr>
        <w:t xml:space="preserve">The Business Case for RNG</w:t>
      </w:r>
      <w:r w:rsidDel="00000000" w:rsidR="00000000" w:rsidRPr="00000000">
        <w:rPr>
          <w:rtl w:val="0"/>
        </w:rPr>
      </w:r>
    </w:p>
    <w:p w:rsidR="00000000" w:rsidDel="00000000" w:rsidP="00000000" w:rsidRDefault="00000000" w:rsidRPr="00000000" w14:paraId="0000000D">
      <w:pPr>
        <w:spacing w:after="0"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0E">
      <w:pPr>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WHEN:</w:t>
        <w:tab/>
      </w:r>
      <w:r w:rsidDel="00000000" w:rsidR="00000000" w:rsidRPr="00000000">
        <w:rPr>
          <w:rFonts w:ascii="Calibri" w:cs="Calibri" w:eastAsia="Calibri" w:hAnsi="Calibri"/>
          <w:rtl w:val="0"/>
        </w:rPr>
        <w:tab/>
        <w:t xml:space="preserve">Wednesday, May 6, 2026  </w:t>
      </w:r>
    </w:p>
    <w:p w:rsidR="00000000" w:rsidDel="00000000" w:rsidP="00000000" w:rsidRDefault="00000000" w:rsidRPr="00000000" w14:paraId="0000000F">
      <w:pPr>
        <w:spacing w:after="0" w:line="240" w:lineRule="auto"/>
        <w:ind w:left="720" w:firstLine="720"/>
        <w:rPr>
          <w:rFonts w:ascii="Calibri" w:cs="Calibri" w:eastAsia="Calibri" w:hAnsi="Calibri"/>
        </w:rPr>
      </w:pPr>
      <w:r w:rsidDel="00000000" w:rsidR="00000000" w:rsidRPr="00000000">
        <w:rPr>
          <w:rFonts w:ascii="Calibri" w:cs="Calibri" w:eastAsia="Calibri" w:hAnsi="Calibri"/>
          <w:rtl w:val="0"/>
        </w:rPr>
        <w:t xml:space="preserve">3:50 p.m. – 4:30 p.m.</w:t>
      </w:r>
    </w:p>
    <w:p w:rsidR="00000000" w:rsidDel="00000000" w:rsidP="00000000" w:rsidRDefault="00000000" w:rsidRPr="00000000" w14:paraId="0000001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after="0" w:line="240" w:lineRule="auto"/>
        <w:ind w:left="1440" w:hanging="1440"/>
        <w:rPr>
          <w:rFonts w:ascii="Calibri" w:cs="Calibri" w:eastAsia="Calibri" w:hAnsi="Calibri"/>
        </w:rPr>
      </w:pPr>
      <w:r w:rsidDel="00000000" w:rsidR="00000000" w:rsidRPr="00000000">
        <w:rPr>
          <w:rFonts w:ascii="Calibri" w:cs="Calibri" w:eastAsia="Calibri" w:hAnsi="Calibri"/>
          <w:b w:val="1"/>
          <w:bCs w:val="1"/>
          <w:rtl w:val="0"/>
        </w:rPr>
        <w:t xml:space="preserve">WHY:</w:t>
      </w:r>
      <w:r w:rsidDel="00000000" w:rsidR="00000000" w:rsidRPr="00000000">
        <w:rPr>
          <w:rFonts w:ascii="Calibri" w:cs="Calibri" w:eastAsia="Calibri" w:hAnsi="Calibri"/>
          <w:rtl w:val="0"/>
        </w:rPr>
        <w:tab/>
        <w:t xml:space="preserve">The Business Case for RNG brings together foundational leaders in the clean energy ecosystem who have invested early and at scale in RNG production, infrastructure, and technology development to discuss the forces shaping the sector’s next decade. </w:t>
      </w:r>
    </w:p>
    <w:p w:rsidR="00000000" w:rsidDel="00000000" w:rsidP="00000000" w:rsidRDefault="00000000" w:rsidRPr="00000000" w14:paraId="00000012">
      <w:pPr>
        <w:spacing w:after="0" w:line="240" w:lineRule="auto"/>
        <w:ind w:left="1440" w:hanging="1440"/>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after="0" w:line="240" w:lineRule="auto"/>
        <w:ind w:left="1440" w:firstLine="0"/>
        <w:rPr>
          <w:rFonts w:ascii="Calibri" w:cs="Calibri" w:eastAsia="Calibri" w:hAnsi="Calibri"/>
        </w:rPr>
      </w:pPr>
      <w:r w:rsidDel="00000000" w:rsidR="00000000" w:rsidRPr="00000000">
        <w:rPr>
          <w:rFonts w:ascii="Calibri" w:cs="Calibri" w:eastAsia="Calibri" w:hAnsi="Calibri"/>
          <w:rtl w:val="0"/>
        </w:rPr>
        <w:t xml:space="preserve">The panel will trace the market, policy, and operational dynamics defining RNG’s trajectory—from the most significant trend driving growth today to the evolving interplay between federal deregulatory efforts and California’s programs that influence long‑term investment certainty. </w:t>
      </w:r>
    </w:p>
    <w:p w:rsidR="00000000" w:rsidDel="00000000" w:rsidP="00000000" w:rsidRDefault="00000000" w:rsidRPr="00000000" w14:paraId="00000014">
      <w:pPr>
        <w:spacing w:after="0" w:line="240" w:lineRule="auto"/>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after="0" w:line="240" w:lineRule="auto"/>
        <w:ind w:left="1440" w:firstLine="0"/>
        <w:rPr>
          <w:rFonts w:ascii="Calibri" w:cs="Calibri" w:eastAsia="Calibri" w:hAnsi="Calibri"/>
        </w:rPr>
      </w:pPr>
      <w:r w:rsidDel="00000000" w:rsidR="00000000" w:rsidRPr="00000000">
        <w:rPr>
          <w:rFonts w:ascii="Calibri" w:cs="Calibri" w:eastAsia="Calibri" w:hAnsi="Calibri"/>
          <w:rtl w:val="0"/>
        </w:rPr>
        <w:t xml:space="preserve">Sceli will highlight Westport’s role developing fuel systems and storage technology that enable fleet owners to leverage clean energy alternatives, like  compressed natural gas (CNG), RNG and hydrogen in their heavy-duty trucks. He will discuss the importance of ensuring that once RNG reaches the vehicle, it powers an engine and truck platform that is efficient, reliable and economically competitive with diesel, and why natural gas fuel sources should be on a level playing field with diesel, without government support. </w:t>
      </w:r>
    </w:p>
    <w:p w:rsidR="00000000" w:rsidDel="00000000" w:rsidP="00000000" w:rsidRDefault="00000000" w:rsidRPr="00000000" w14:paraId="00000016">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after="0" w:line="240" w:lineRule="auto"/>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after="0" w:line="240" w:lineRule="auto"/>
        <w:ind w:left="1440" w:hanging="1440"/>
        <w:rPr>
          <w:rFonts w:ascii="Calibri" w:cs="Calibri" w:eastAsia="Calibri" w:hAnsi="Calibri"/>
        </w:rPr>
      </w:pPr>
      <w:r w:rsidDel="00000000" w:rsidR="00000000" w:rsidRPr="00000000">
        <w:rPr>
          <w:rFonts w:ascii="Calibri" w:cs="Calibri" w:eastAsia="Calibri" w:hAnsi="Calibri"/>
          <w:b w:val="1"/>
          <w:bCs w:val="1"/>
          <w:rtl w:val="0"/>
        </w:rPr>
        <w:t xml:space="preserve">WHO:</w:t>
      </w:r>
      <w:r w:rsidDel="00000000" w:rsidR="00000000" w:rsidRPr="00000000">
        <w:rPr>
          <w:rFonts w:ascii="Calibri" w:cs="Calibri" w:eastAsia="Calibri" w:hAnsi="Calibri"/>
          <w:rtl w:val="0"/>
        </w:rPr>
        <w:t xml:space="preserve"> </w:t>
        <w:tab/>
        <w:t xml:space="preserve">Moderated by Dan Gage, President of The Transport Project, this panel will include: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Eric Bippus, Chief Commercial Officer, Hexagon Agility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Clay Corbus, President and CEO, Clean Energy Fuels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Daryl Maas, CEO, Maas Energy Works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Dan Sceli, CEO, Westport </w:t>
      </w:r>
    </w:p>
    <w:p w:rsidR="00000000" w:rsidDel="00000000" w:rsidP="00000000" w:rsidRDefault="00000000" w:rsidRPr="00000000" w14:paraId="0000001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About Westport </w:t>
      </w:r>
    </w:p>
    <w:p w:rsidR="00000000" w:rsidDel="00000000" w:rsidP="00000000" w:rsidRDefault="00000000" w:rsidRPr="00000000" w14:paraId="0000002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Westport is a technology and innovation company connecting synergistic technologies to power a cleaner tomorrow. As a leading supplier of affordable, alternative fuel, low-emissions transportation technologies, we design, manufacture, and supply advanced components and systems that enable the transition from traditional fuels to cleaner energy solutions. Our proven technologies support a wide range of clean fuels – including natural gas, renewable natural gas, and hydrogen – empowering OEMs and commercial transportation industries to meet performance demands, regulatory requirements, and climate targets in a cost-effective way. With decades of expertise and a commitment to engineering excellence, Westport is helping its partners achieve sustainability goals—without compromising performance or cost-efficiency – making clean, scalable transport solutions a reality. Westport is headquartered in Vancouver, Canada. For more information, visit </w:t>
      </w:r>
      <w:hyperlink r:id="rId8">
        <w:r w:rsidDel="00000000" w:rsidR="00000000" w:rsidRPr="00000000">
          <w:rPr>
            <w:rFonts w:ascii="Calibri" w:cs="Calibri" w:eastAsia="Calibri" w:hAnsi="Calibri"/>
            <w:color w:val="467886"/>
            <w:u w:val="single"/>
            <w:rtl w:val="0"/>
          </w:rPr>
          <w:t xml:space="preserve">www.westport.com</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2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spacing w:after="0" w:line="240" w:lineRule="auto"/>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Cautionary Note Regarding Forward Looking Statements</w:t>
      </w:r>
    </w:p>
    <w:p w:rsidR="00000000" w:rsidDel="00000000" w:rsidP="00000000" w:rsidRDefault="00000000" w:rsidRPr="00000000" w14:paraId="00000023">
      <w:pPr>
        <w:spacing w:after="0"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This press release contains forward-looking statements, including statements regarding future strategic initiatives and future growth, future of our development programs (including those relating to HPDI and CNG), the demand for our products, the timing for additional trial trucks, the future success of our business and technology strategies, intentions of partners and potential customers, the performance and competitiveness of Westport Fuel Systems’ products and expansion of product coverage, future market opportunities, speed of adoption of natural gas for transportation and terms and timing of future agreements as well as Westport Fuel Systems management’s response to any of the aforementioned factors. These statements are neither promises nor guarantees, but involve known and unknown risks and uncertainties and are based on both the views of management and assumptions that may cause our actual results, levels of activity, performance or achievements to be materially different from any future results, levels of activities, performance or achievements expressed in or implied by these forward looking statements. These risks, uncertainties and assumptions include those related to our revenue growth, operating results, industry and products, the general economy, conditions of and access to the capital and debt markets, solvency, governmental policies and regulation, technology innovations, fluctuations in foreign exchange rates, operating expenses, continued reduction in expenses, ability to successfully commercialize new products, the performance of our joint ventures, the availability and price of natural gas, global government stimulus packages and new environmental regulations, the acceptance of and shift to natural gas vehicles, the relaxation or waiver of fuel emission standards, the inability of fleets to access capital or government funding to purchase natural gas vehicles, the development of competing technologies, our ability to adequately develop and deploy our technology, the actions and determinations of our joint venture and development partners, ongoing supply chain challenges as well as other risk factors and assumptions that may affect our actual results, performance or achievements or financial position discussed in our most recent Annual Information Form and other filings with securities regulators. Readers should not place undue reliance on any such forward-looking statements, which speak only as of the date they were made. We disclaim any obligation to publicly update or revise such statements to reflect any change in our expectations or in events, conditions or circumstances on which any such statements may be based, or that may affect the likelihood that actual results will differ from those set forth in these forward looking statements except as required by applicable law. The contents of any website, RSS feed or twitter account referenced in this press release are not incorporated by reference herein.</w:t>
      </w:r>
    </w:p>
    <w:p w:rsidR="00000000" w:rsidDel="00000000" w:rsidP="00000000" w:rsidRDefault="00000000" w:rsidRPr="00000000" w14:paraId="0000002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Contact Information</w:t>
      </w:r>
    </w:p>
    <w:p w:rsidR="00000000" w:rsidDel="00000000" w:rsidP="00000000" w:rsidRDefault="00000000" w:rsidRPr="00000000" w14:paraId="0000002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Westport Investor Relations</w:t>
      </w:r>
    </w:p>
    <w:p w:rsidR="00000000" w:rsidDel="00000000" w:rsidP="00000000" w:rsidRDefault="00000000" w:rsidRPr="00000000" w14:paraId="0000002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 +1 604-718-2046</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Cambria Math">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westport.com/" TargetMode="External"/><Relationship Id="rId7" Type="http://schemas.openxmlformats.org/officeDocument/2006/relationships/hyperlink" Target="https://www.actexpo.com/" TargetMode="External"/><Relationship Id="rId8" Type="http://schemas.openxmlformats.org/officeDocument/2006/relationships/hyperlink" Target="http://www.westpor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