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Westport’s Jim Arthurs to Outline Cost</w:t>
      </w:r>
      <w:r w:rsidDel="00000000" w:rsidR="00000000" w:rsidRPr="00000000">
        <w:rPr>
          <w:rFonts w:ascii="Cambria Math" w:cs="Cambria Math" w:eastAsia="Cambria Math" w:hAnsi="Cambria Math"/>
          <w:b w:val="1"/>
          <w:bCs w:val="1"/>
          <w:sz w:val="28"/>
          <w:szCs w:val="28"/>
          <w:rtl w:val="0"/>
        </w:rPr>
        <w:t xml:space="preserve">‑</w:t>
      </w:r>
      <w:r w:rsidDel="00000000" w:rsidR="00000000" w:rsidRPr="00000000">
        <w:rPr>
          <w:rFonts w:ascii="Calibri" w:cs="Calibri" w:eastAsia="Calibri" w:hAnsi="Calibri"/>
          <w:b w:val="1"/>
          <w:bCs w:val="1"/>
          <w:sz w:val="28"/>
          <w:szCs w:val="28"/>
          <w:rtl w:val="0"/>
        </w:rPr>
        <w:t xml:space="preserve">Effective, Low</w:t>
      </w:r>
      <w:r w:rsidDel="00000000" w:rsidR="00000000" w:rsidRPr="00000000">
        <w:rPr>
          <w:rFonts w:ascii="Cambria Math" w:cs="Cambria Math" w:eastAsia="Cambria Math" w:hAnsi="Cambria Math"/>
          <w:b w:val="1"/>
          <w:bCs w:val="1"/>
          <w:sz w:val="28"/>
          <w:szCs w:val="28"/>
          <w:rtl w:val="0"/>
        </w:rPr>
        <w:t xml:space="preserve">‑</w:t>
      </w:r>
      <w:r w:rsidDel="00000000" w:rsidR="00000000" w:rsidRPr="00000000">
        <w:rPr>
          <w:rFonts w:ascii="Calibri" w:cs="Calibri" w:eastAsia="Calibri" w:hAnsi="Calibri"/>
          <w:b w:val="1"/>
          <w:bCs w:val="1"/>
          <w:sz w:val="28"/>
          <w:szCs w:val="28"/>
          <w:rtl w:val="0"/>
        </w:rPr>
        <w:t xml:space="preserve">Emission CNG Strategies for Heavy</w:t>
      </w:r>
      <w:r w:rsidDel="00000000" w:rsidR="00000000" w:rsidRPr="00000000">
        <w:rPr>
          <w:rFonts w:ascii="Cambria Math" w:cs="Cambria Math" w:eastAsia="Cambria Math" w:hAnsi="Cambria Math"/>
          <w:b w:val="1"/>
          <w:bCs w:val="1"/>
          <w:sz w:val="28"/>
          <w:szCs w:val="28"/>
          <w:rtl w:val="0"/>
        </w:rPr>
        <w:t xml:space="preserve">‑</w:t>
      </w:r>
      <w:r w:rsidDel="00000000" w:rsidR="00000000" w:rsidRPr="00000000">
        <w:rPr>
          <w:rFonts w:ascii="Calibri" w:cs="Calibri" w:eastAsia="Calibri" w:hAnsi="Calibri"/>
          <w:b w:val="1"/>
          <w:bCs w:val="1"/>
          <w:sz w:val="28"/>
          <w:szCs w:val="28"/>
          <w:rtl w:val="0"/>
        </w:rPr>
        <w:t xml:space="preserve">Duty Fleets at ACT Expo</w:t>
        <w:br w:type="textWrapping"/>
      </w:r>
    </w:p>
    <w:p w:rsidR="00000000" w:rsidDel="00000000" w:rsidP="00000000" w:rsidRDefault="00000000" w:rsidRPr="00000000" w14:paraId="00000002">
      <w:pPr>
        <w:spacing w:after="0" w:line="240" w:lineRule="auto"/>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May 4 panel discussion to feature insights into emerging technologies shaping the next decade of fleet operations</w:t>
      </w:r>
    </w:p>
    <w:p w:rsidR="00000000" w:rsidDel="00000000" w:rsidP="00000000" w:rsidRDefault="00000000" w:rsidRPr="00000000" w14:paraId="0000000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VANCOUVER, B.C. – April 30, </w:t>
      </w:r>
      <w:r w:rsidDel="00000000" w:rsidR="00000000" w:rsidRPr="00000000">
        <w:rPr>
          <w:rFonts w:ascii="Calibri" w:cs="Calibri" w:eastAsia="Calibri" w:hAnsi="Calibri"/>
          <w:b w:val="1"/>
          <w:bCs w:val="1"/>
          <w:rtl w:val="0"/>
        </w:rPr>
        <w:t xml:space="preserve">2026 –</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467886"/>
            <w:u w:val="single"/>
            <w:rtl w:val="0"/>
          </w:rPr>
          <w:t xml:space="preserve">Westport</w:t>
        </w:r>
      </w:hyperlink>
      <w:r w:rsidDel="00000000" w:rsidR="00000000" w:rsidRPr="00000000">
        <w:rPr>
          <w:rFonts w:ascii="Calibri" w:cs="Calibri" w:eastAsia="Calibri" w:hAnsi="Calibri"/>
          <w:rtl w:val="0"/>
        </w:rPr>
        <w:t xml:space="preserve"> (TSX:WPRT / Nasdaq:WPRT), </w:t>
      </w:r>
      <w:r w:rsidDel="00000000" w:rsidR="00000000" w:rsidRPr="00000000">
        <w:rPr>
          <w:rFonts w:ascii="Calibri" w:cs="Calibri" w:eastAsia="Calibri" w:hAnsi="Calibri"/>
          <w:rtl w:val="0"/>
        </w:rPr>
        <w:t xml:space="preserve">a global leader in advanced alternative fuel systems for the transportation industry</w:t>
      </w:r>
      <w:r w:rsidDel="00000000" w:rsidR="00000000" w:rsidRPr="00000000">
        <w:rPr>
          <w:rFonts w:ascii="Calibri" w:cs="Calibri" w:eastAsia="Calibri" w:hAnsi="Calibri"/>
          <w:rtl w:val="0"/>
        </w:rPr>
        <w:t xml:space="preserve">, today announced that Senior Strategic Advisor Jim Arthurs will join industry leaders at ACT Expo 2026 to discuss why compressed natural gas (CNG) and renewable natural gas (RNG) are emerging as the most practical, cost</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effective and lower</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carbon solutions for today’s fleet operations. </w:t>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WHERE:</w:t>
      </w:r>
      <w:r w:rsidDel="00000000" w:rsidR="00000000" w:rsidRPr="00000000">
        <w:rPr>
          <w:rFonts w:ascii="Calibri" w:cs="Calibri" w:eastAsia="Calibri" w:hAnsi="Calibri"/>
          <w:rtl w:val="0"/>
        </w:rPr>
        <w:tab/>
      </w:r>
      <w:hyperlink r:id="rId7">
        <w:r w:rsidDel="00000000" w:rsidR="00000000" w:rsidRPr="00000000">
          <w:rPr>
            <w:rFonts w:ascii="Calibri" w:cs="Calibri" w:eastAsia="Calibri" w:hAnsi="Calibri"/>
            <w:color w:val="467886"/>
            <w:u w:val="single"/>
            <w:rtl w:val="0"/>
          </w:rPr>
          <w:t xml:space="preserve">ACT Expo 2026</w:t>
        </w:r>
      </w:hyperlink>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ab/>
        <w:tab/>
        <w:t xml:space="preserve">Room W219-W221, Second Floor</w:t>
      </w:r>
      <w:r w:rsidDel="00000000" w:rsidR="00000000" w:rsidRPr="00000000">
        <w:rPr>
          <w:rtl w:val="0"/>
        </w:rPr>
      </w:r>
    </w:p>
    <w:p w:rsidR="00000000" w:rsidDel="00000000" w:rsidP="00000000" w:rsidRDefault="00000000" w:rsidRPr="00000000" w14:paraId="00000008">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Las Vegas Convention Center</w:t>
      </w:r>
    </w:p>
    <w:p w:rsidR="00000000" w:rsidDel="00000000" w:rsidP="00000000" w:rsidRDefault="00000000" w:rsidRPr="00000000" w14:paraId="00000009">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Las Vegas</w:t>
      </w:r>
    </w:p>
    <w:p w:rsidR="00000000" w:rsidDel="00000000" w:rsidP="00000000" w:rsidRDefault="00000000" w:rsidRPr="00000000" w14:paraId="0000000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WHAT:</w:t>
        <w:tab/>
      </w:r>
      <w:r w:rsidDel="00000000" w:rsidR="00000000" w:rsidRPr="00000000">
        <w:rPr>
          <w:rFonts w:ascii="Calibri" w:cs="Calibri" w:eastAsia="Calibri" w:hAnsi="Calibri"/>
          <w:rtl w:val="0"/>
        </w:rPr>
        <w:tab/>
      </w:r>
      <w:hyperlink r:id="rId8">
        <w:r w:rsidDel="00000000" w:rsidR="00000000" w:rsidRPr="00000000">
          <w:rPr>
            <w:rFonts w:ascii="Calibri" w:cs="Calibri" w:eastAsia="Calibri" w:hAnsi="Calibri"/>
            <w:color w:val="467886"/>
            <w:u w:val="single"/>
            <w:rtl w:val="0"/>
          </w:rPr>
          <w:t xml:space="preserve">Right Fuel, Right Route: Evaluating CNG and RNG for Today’s Fleet Operations</w:t>
        </w:r>
      </w:hyperlink>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WHEN:</w:t>
        <w:tab/>
      </w:r>
      <w:r w:rsidDel="00000000" w:rsidR="00000000" w:rsidRPr="00000000">
        <w:rPr>
          <w:rFonts w:ascii="Calibri" w:cs="Calibri" w:eastAsia="Calibri" w:hAnsi="Calibri"/>
          <w:rtl w:val="0"/>
        </w:rPr>
        <w:tab/>
        <w:t xml:space="preserve">Monday, May 4, 2026  </w:t>
      </w:r>
    </w:p>
    <w:p w:rsidR="00000000" w:rsidDel="00000000" w:rsidP="00000000" w:rsidRDefault="00000000" w:rsidRPr="00000000" w14:paraId="0000000E">
      <w:pPr>
        <w:spacing w:after="0" w:line="240" w:lineRule="auto"/>
        <w:ind w:left="720" w:firstLine="720"/>
        <w:rPr>
          <w:rFonts w:ascii="Calibri" w:cs="Calibri" w:eastAsia="Calibri" w:hAnsi="Calibri"/>
        </w:rPr>
      </w:pPr>
      <w:r w:rsidDel="00000000" w:rsidR="00000000" w:rsidRPr="00000000">
        <w:rPr>
          <w:rFonts w:ascii="Calibri" w:cs="Calibri" w:eastAsia="Calibri" w:hAnsi="Calibri"/>
          <w:rtl w:val="0"/>
        </w:rPr>
        <w:t xml:space="preserve">10:15 a.m. - 11:00 a.m.</w:t>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0" w:line="240" w:lineRule="auto"/>
        <w:ind w:left="1440" w:hanging="1440"/>
        <w:rPr>
          <w:rFonts w:ascii="Calibri" w:cs="Calibri" w:eastAsia="Calibri" w:hAnsi="Calibri"/>
        </w:rPr>
      </w:pPr>
      <w:r w:rsidDel="00000000" w:rsidR="00000000" w:rsidRPr="00000000">
        <w:rPr>
          <w:rFonts w:ascii="Calibri" w:cs="Calibri" w:eastAsia="Calibri" w:hAnsi="Calibri"/>
          <w:b w:val="1"/>
          <w:bCs w:val="1"/>
          <w:rtl w:val="0"/>
        </w:rPr>
        <w:t xml:space="preserve">WHY:</w:t>
      </w:r>
      <w:r w:rsidDel="00000000" w:rsidR="00000000" w:rsidRPr="00000000">
        <w:rPr>
          <w:rFonts w:ascii="Calibri" w:cs="Calibri" w:eastAsia="Calibri" w:hAnsi="Calibri"/>
          <w:rtl w:val="0"/>
        </w:rPr>
        <w:tab/>
        <w:t xml:space="preserve">CNG and RNG are gaining renewed traction as practical, scalable and lower</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carbon solutions for heavy</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duty trucking—particularly for fleets that want immediate decarbonization pathways without sacrificing range, torque or day</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to</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day reliability. </w:t>
      </w:r>
      <w:r w:rsidDel="00000000" w:rsidR="00000000" w:rsidRPr="00000000">
        <w:rPr>
          <w:rFonts w:ascii="Calibri" w:cs="Calibri" w:eastAsia="Calibri" w:hAnsi="Calibri"/>
          <w:rtl w:val="0"/>
        </w:rPr>
        <w:t xml:space="preserve">In this session, Arthurs will discuss how CNG and RNG powered engines and fuel systems for heavy-duty trucks have been developed to the point where they are now capable of replacing diesel engines in almost any application, while delivering substantial operating cost savings. He’ll also examine the rapid growth of RNG—now expanding 22% annually in U.S. transportation—and how different feedstocks and sourcing strategies can unlock deep, even carbon</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negative, emissions reductions.</w:t>
      </w:r>
      <w:r w:rsidDel="00000000" w:rsidR="00000000" w:rsidRPr="00000000">
        <w:rPr>
          <w:rtl w:val="0"/>
        </w:rPr>
      </w:r>
    </w:p>
    <w:p w:rsidR="00000000" w:rsidDel="00000000" w:rsidP="00000000" w:rsidRDefault="00000000" w:rsidRPr="00000000" w14:paraId="00000011">
      <w:pPr>
        <w:spacing w:after="0" w:line="240" w:lineRule="auto"/>
        <w:ind w:left="1440" w:hanging="1440"/>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0"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Arthurs also will highlight why CNG is a mature, widely supported technology capable of delivering diesel</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equivalent performance in regional and long</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haul applications with a much less expensive fuel. Additionally, he will offer insights to next</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generation systems such as Westport’s 700</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bar HPDI CNG platform—which will provide diesel equivalent fuel efficiency and future hydrogen capability and will be on </w:t>
      </w:r>
      <w:r w:rsidDel="00000000" w:rsidR="00000000" w:rsidRPr="00000000">
        <w:rPr>
          <w:rFonts w:ascii="Calibri" w:cs="Calibri" w:eastAsia="Calibri" w:hAnsi="Calibri"/>
          <w:rtl w:val="0"/>
        </w:rPr>
        <w:t xml:space="preserve">display at </w:t>
      </w:r>
      <w:r w:rsidDel="00000000" w:rsidR="00000000" w:rsidRPr="00000000">
        <w:rPr>
          <w:rFonts w:ascii="Calibri" w:cs="Calibri" w:eastAsia="Calibri" w:hAnsi="Calibri"/>
          <w:rtl w:val="0"/>
        </w:rPr>
        <w:t xml:space="preserve">Westport’s booth (West Hall-3235</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—underscoring why CNG remains the most cost</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effective and future</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ready option for fleets across a wide range of operating scenarios.</w:t>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WHO:</w:t>
      </w:r>
      <w:r w:rsidDel="00000000" w:rsidR="00000000" w:rsidRPr="00000000">
        <w:rPr>
          <w:rFonts w:ascii="Calibri" w:cs="Calibri" w:eastAsia="Calibri" w:hAnsi="Calibri"/>
          <w:rtl w:val="0"/>
        </w:rPr>
        <w:t xml:space="preserve"> </w:t>
        <w:tab/>
        <w:tab/>
        <w:t xml:space="preserve">Jim Arthurs, Senior Strategic Advisor, Westport</w:t>
      </w:r>
    </w:p>
    <w:p w:rsidR="00000000" w:rsidDel="00000000" w:rsidP="00000000" w:rsidRDefault="00000000" w:rsidRPr="00000000" w14:paraId="00000015">
      <w:pPr>
        <w:spacing w:after="0"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Also president of JD Arthurs &amp; Associates Ltd., Arthurs previously served as chair of The Transport Project, America’s trade association dedicated to having truck fleets run safely, reliably and effectively on clean, renewable, domestic fuels,    and as executive vice president at Westport Fuel Systems, where he oversaw engine and fuel</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system technologies. As president and later chair of Cummins Westport Inc., he led the development and launch of the first series</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production heavy</w:t>
      </w:r>
      <w:r w:rsidDel="00000000" w:rsidR="00000000" w:rsidRPr="00000000">
        <w:rPr>
          <w:rFonts w:ascii="Cambria Math" w:cs="Cambria Math" w:eastAsia="Cambria Math" w:hAnsi="Cambria Math"/>
          <w:rtl w:val="0"/>
        </w:rPr>
        <w:t xml:space="preserve">‑</w:t>
      </w:r>
      <w:r w:rsidDel="00000000" w:rsidR="00000000" w:rsidRPr="00000000">
        <w:rPr>
          <w:rFonts w:ascii="Calibri" w:cs="Calibri" w:eastAsia="Calibri" w:hAnsi="Calibri"/>
          <w:rtl w:val="0"/>
        </w:rPr>
        <w:t xml:space="preserve">duty natural gas truck engine on a Cummins platform.</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Westport </w:t>
      </w:r>
    </w:p>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Westport is a technology and innovation company connecting synergistic technologies to power a cleaner tomorrow. As a leading supplier of affordable, alternative fuel, low-emissions transportation technologies, we design, manufacture, and supply advanced components and systems that enable the transition from traditional fuels to cleaner energy solutions. Our proven technologies support a wide range of clean fuels – including natural gas, renewable natural gas, and hydrogen – empowering OEMs and commercial transportation industries to meet performance demands, regulatory requirements, and climate targets in a cost-effective way. With decades of expertise and a commitment to engineering excellence, Westport is helping its partners achieve sustainability goals—without compromising performance or cost-efficiency – making clean, scalable transport solutions a reality. Westport is headquartered in Vancouver, Canada. For more information, visit </w:t>
      </w:r>
      <w:hyperlink r:id="rId9">
        <w:r w:rsidDel="00000000" w:rsidR="00000000" w:rsidRPr="00000000">
          <w:rPr>
            <w:rFonts w:ascii="Calibri" w:cs="Calibri" w:eastAsia="Calibri" w:hAnsi="Calibri"/>
            <w:color w:val="467886"/>
            <w:u w:val="single"/>
            <w:rtl w:val="0"/>
          </w:rPr>
          <w:t xml:space="preserve">www.westport.com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Cautionary Note Regarding Forward Looking Statements</w:t>
      </w:r>
    </w:p>
    <w:p w:rsidR="00000000" w:rsidDel="00000000" w:rsidP="00000000" w:rsidRDefault="00000000" w:rsidRPr="00000000" w14:paraId="0000001C">
      <w:pPr>
        <w:spacing w:after="0"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This press release contains forward-looking statements, including statements regarding future strategic initiatives and future growth, future of our development programs (including those relating to HPDI and CNG), the demand for our products, the timing for additional trial trucks, the future success of our business and technology strategies, intentions of partners and potential customers, the performance and competitiveness of Westport Fuel Systems’ products and expansion of product coverage, future market opportunities, speed of adoption of natural gas for transportation and terms and timing of future agreements as well as Westport Fuel Systems management’s response to any of the aforementioned factors. These statements are neither promises nor guarantees, but involve known and unknown risks and uncertainties and are based on both the views of management and assumptions that may cause our actual results, levels of activity, performance or achievements to be materially different from any future results, levels of activities, performance or achievements expressed in or implied by these forward looking statements. These risks, uncertainties and assumptions include those related to our revenue growth, operating results, industry and products, the general economy, conditions of and access to the capital and debt markets, solvency, governmental policies and regulation, technology innovations, fluctuations in foreign exchange rates, operating expenses, continued reduction in expenses, ability to successfully commercialize new products, the performance of our joint ventures, the availability and price of natural gas, global government stimulus packages and new environmental regulations, the acceptance of and shift to natural gas vehicles, the relaxation or waiver of fuel emission standards, the inability of fleets to access capital or government funding to purchase natural gas vehicles, the development of competing technologies, our ability to adequately develop and deploy our technology, the actions and determinations of our joint venture and development partners, ongoing supply chain challenges as well as other risk factors and assumptions that may affect our actual results, performance or achievements or financial position discussed in our most recent Annual Information Form and other filings with securities regulators. Readers should not place undue reliance on any such forward-looking statements, which speak only as of the date they were made. We disclaim any obligation to publicly update or revise such statements to reflect any change in our expectations or in events, conditions or circumstances on which any such statements may be based, or that may affect the likelihood that actual results will differ from those set forth in these forward looking statements except as required by applicable law. The contents of any website, RSS feed or twitter account referenced in this press release are not incorporated by reference herein.</w:t>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Information</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Westport Investor Relations</w:t>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 +1 604-718-2046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estport.com" TargetMode="External"/><Relationship Id="rId5" Type="http://schemas.openxmlformats.org/officeDocument/2006/relationships/styles" Target="styles.xml"/><Relationship Id="rId6" Type="http://schemas.openxmlformats.org/officeDocument/2006/relationships/hyperlink" Target="http://www.westport.com/" TargetMode="External"/><Relationship Id="rId7" Type="http://schemas.openxmlformats.org/officeDocument/2006/relationships/hyperlink" Target="https://www.actexpo.com/" TargetMode="External"/><Relationship Id="rId8" Type="http://schemas.openxmlformats.org/officeDocument/2006/relationships/hyperlink" Target="https://www.actexpo.com/agenda/#session-38238-f4efc9b8af3f53509159119cf53d9a8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